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0895-2021-QJEO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广东宝驰能源科技有限公司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周文廷，李京田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91440803MA55KRAFXC</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r>
              <w:rPr>
                <w:rFonts w:hint="eastAsia"/>
                <w:sz w:val="22"/>
                <w:szCs w:val="22"/>
                <w:lang w:val="en-US" w:eastAsia="zh-CN"/>
              </w:rPr>
              <w:t>☑ GB/T 19001-2016 idt ISO 9001:2015标准 (不适用：8.3  条款)</w:t>
            </w:r>
          </w:p>
          <w:p>
            <w:pPr>
              <w:snapToGrid w:val="0"/>
              <w:spacing w:line="0" w:lineRule="atLeast"/>
              <w:jc w:val="left"/>
              <w:rPr>
                <w:rFonts w:hint="eastAsia"/>
                <w:sz w:val="22"/>
                <w:szCs w:val="22"/>
                <w:lang w:val="en-US" w:eastAsia="zh-CN"/>
              </w:rPr>
            </w:pPr>
            <w:r>
              <w:rPr>
                <w:rFonts w:hint="eastAsia"/>
                <w:sz w:val="22"/>
                <w:szCs w:val="22"/>
                <w:lang w:val="en-US" w:eastAsia="zh-CN"/>
              </w:rPr>
              <w:t>☑ GB/T 50430-2017 (不适用：  条款)；</w:t>
            </w:r>
          </w:p>
          <w:p>
            <w:pPr>
              <w:snapToGrid w:val="0"/>
              <w:spacing w:line="0" w:lineRule="atLeast"/>
              <w:jc w:val="left"/>
              <w:rPr>
                <w:rFonts w:hint="eastAsia"/>
                <w:sz w:val="22"/>
                <w:szCs w:val="22"/>
                <w:lang w:val="en-US" w:eastAsia="zh-CN"/>
              </w:rPr>
            </w:pPr>
            <w:bookmarkStart w:id="5" w:name="E勾选"/>
            <w:r>
              <w:rPr>
                <w:rFonts w:hint="eastAsia"/>
                <w:sz w:val="22"/>
                <w:szCs w:val="22"/>
                <w:lang w:val="en-US" w:eastAsia="zh-CN"/>
              </w:rPr>
              <w:t>■</w:t>
            </w:r>
            <w:bookmarkEnd w:id="5"/>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6" w:name="S勾选"/>
            <w:r>
              <w:rPr>
                <w:rFonts w:hint="eastAsia"/>
                <w:sz w:val="22"/>
                <w:szCs w:val="22"/>
                <w:lang w:val="en-US" w:eastAsia="zh-CN"/>
              </w:rPr>
              <w:t>■</w:t>
            </w:r>
            <w:bookmarkEnd w:id="6"/>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7" w:name="EnMS勾选"/>
            <w:r>
              <w:rPr>
                <w:rFonts w:hint="eastAsia"/>
                <w:sz w:val="22"/>
                <w:szCs w:val="22"/>
                <w:lang w:val="en-US" w:eastAsia="zh-CN"/>
              </w:rPr>
              <w:t>□</w:t>
            </w:r>
            <w:bookmarkEnd w:id="7"/>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8" w:name="F勾选"/>
            <w:r>
              <w:rPr>
                <w:rFonts w:hint="eastAsia"/>
                <w:sz w:val="22"/>
                <w:szCs w:val="22"/>
                <w:lang w:val="en-US" w:eastAsia="zh-CN"/>
              </w:rPr>
              <w:t>□</w:t>
            </w:r>
            <w:bookmarkEnd w:id="8"/>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9" w:name="H勾选"/>
            <w:r>
              <w:rPr>
                <w:rFonts w:hint="eastAsia"/>
                <w:sz w:val="22"/>
                <w:szCs w:val="22"/>
                <w:lang w:val="en-US" w:eastAsia="zh-CN"/>
              </w:rPr>
              <w:t>□</w:t>
            </w:r>
            <w:bookmarkEnd w:id="9"/>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US" w:eastAsia="zh-CN"/>
              </w:rPr>
              <w:t>企业体系有效人数</w:t>
            </w:r>
          </w:p>
          <w:p>
            <w:pPr>
              <w:snapToGrid w:val="0"/>
              <w:spacing w:line="0" w:lineRule="atLeast"/>
              <w:jc w:val="center"/>
              <w:rPr>
                <w:rFonts w:hint="default"/>
                <w:sz w:val="22"/>
                <w:szCs w:val="22"/>
                <w:lang w:val="en-US" w:eastAsia="zh-CN"/>
              </w:rPr>
            </w:pPr>
            <w:r>
              <w:rPr>
                <w:rFonts w:hint="eastAsia"/>
                <w:sz w:val="22"/>
                <w:szCs w:val="22"/>
                <w:lang w:val="en-US" w:eastAsia="zh-CN"/>
              </w:rPr>
              <w:t>40人</w:t>
            </w:r>
          </w:p>
        </w:tc>
        <w:tc>
          <w:tcPr>
            <w:tcW w:w="1976" w:type="dxa"/>
          </w:tcPr>
          <w:p>
            <w:pPr>
              <w:snapToGrid w:val="0"/>
              <w:spacing w:line="0" w:lineRule="atLeast"/>
              <w:jc w:val="center"/>
              <w:rPr>
                <w:rFonts w:hint="eastAsia"/>
                <w:sz w:val="22"/>
                <w:szCs w:val="22"/>
                <w:lang w:val="en-US" w:eastAsia="zh-CN"/>
              </w:rPr>
            </w:pPr>
            <w:bookmarkStart w:id="10" w:name="体系人数"/>
            <w:r>
              <w:rPr>
                <w:rFonts w:hint="eastAsia"/>
                <w:sz w:val="22"/>
                <w:szCs w:val="22"/>
                <w:lang w:val="en-US" w:eastAsia="zh-CN"/>
              </w:rPr>
              <w:t>EC:40,E:40,O:40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4" w:name="特殊审核勾选"/>
            <w:r>
              <w:rPr>
                <w:rFonts w:hint="eastAsia"/>
                <w:b/>
                <w:color w:val="000000" w:themeColor="text1"/>
                <w:spacing w:val="-2"/>
                <w:sz w:val="21"/>
                <w:szCs w:val="21"/>
                <w:lang w:val="en-US" w:eastAsia="zh-CN"/>
              </w:rPr>
              <w:t>□</w:t>
            </w:r>
            <w:bookmarkEnd w:id="14"/>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5" w:name="组织名称Add1"/>
            <w:r>
              <w:rPr>
                <w:rFonts w:hint="eastAsia" w:ascii="Times New Roman" w:hAnsi="Times New Roman" w:eastAsia="宋体" w:cs="Times New Roman"/>
                <w:b w:val="0"/>
                <w:kern w:val="2"/>
                <w:sz w:val="22"/>
                <w:szCs w:val="22"/>
                <w:lang w:val="en-US" w:eastAsia="zh-CN" w:bidi="ar-SA"/>
              </w:rPr>
              <w:t>广东宝驰能源科技有限公司</w:t>
            </w:r>
            <w:bookmarkEnd w:id="15"/>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6" w:name="审核范围"/>
            <w:r>
              <w:rPr>
                <w:rFonts w:hint="eastAsia" w:cs="Times New Roman"/>
                <w:b w:val="0"/>
                <w:kern w:val="2"/>
                <w:sz w:val="22"/>
                <w:szCs w:val="22"/>
                <w:lang w:val="en-US" w:eastAsia="zh-CN" w:bidi="ar-SA"/>
              </w:rPr>
              <w:t>EC：资质范围内电力工程施工总承包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E：资质范围内电力工程施工总承包所涉及场所的相关环境管理活动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O：资质范围内电力工程施工总承包所涉及场所的相关职业健康安全管理活动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注册地址"/>
            <w:r>
              <w:rPr>
                <w:rFonts w:hint="eastAsia" w:ascii="Times New Roman" w:hAnsi="Times New Roman" w:eastAsia="宋体" w:cs="Times New Roman"/>
                <w:b w:val="0"/>
                <w:kern w:val="2"/>
                <w:sz w:val="22"/>
                <w:szCs w:val="22"/>
                <w:lang w:val="en-GB" w:eastAsia="zh-CN" w:bidi="ar-SA"/>
              </w:rPr>
              <w:t>湛江市霞山区龙腾路5号锦江花园B4别墅</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办公地址"/>
            <w:r>
              <w:rPr>
                <w:rFonts w:hint="eastAsia" w:ascii="Times New Roman" w:hAnsi="Times New Roman" w:eastAsia="宋体" w:cs="Times New Roman"/>
                <w:b w:val="0"/>
                <w:kern w:val="2"/>
                <w:sz w:val="22"/>
                <w:szCs w:val="22"/>
                <w:lang w:val="en-GB" w:eastAsia="zh-CN" w:bidi="ar-SA"/>
              </w:rPr>
              <w:t>湛江市霞山区龙腾路5号锦江花园B4别墅</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Guangdong Baochi Energy Technology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General contracting of power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Relevant environmental management activities of places involved in general contracting of power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Guangdong Baochi Energy Technology Co., Ltd. villa B4, Jinjiang garden, No. 5 Longteng Road, Xiashan District, Zhanjiang City</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default" w:ascii="Times New Roman" w:hAnsi="Times New Roman" w:eastAsia="宋体" w:cs="Times New Roman"/>
                <w:b w:val="0"/>
                <w:kern w:val="2"/>
                <w:sz w:val="22"/>
                <w:szCs w:val="22"/>
                <w:lang w:val="en-US" w:eastAsia="zh-CN" w:bidi="ar-SA"/>
              </w:rPr>
              <w:t>Relevant occupational health and safety management activities in the places involved in the general contracting of power engineering construction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Guangdong Baochi Energy Technology Co., Ltd. villa B4, Jinjiang garden, No. 5 Longteng Road, Xiashan District, Zhanjiang City</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bookmarkStart w:id="19" w:name="_GoBack"/>
      <w:bookmarkEnd w:id="19"/>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4D6F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2021-09-08T02:46:46Z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