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0896-2021-EO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铭品电缆集团股份有限公司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林兵</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91331082799631363H</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E勾选"/>
            <w:r>
              <w:rPr>
                <w:rFonts w:hint="eastAsia"/>
                <w:sz w:val="22"/>
                <w:szCs w:val="22"/>
                <w:lang w:val="en-US" w:eastAsia="zh-CN"/>
              </w:rPr>
              <w:t>■</w:t>
            </w:r>
            <w:bookmarkEnd w:id="6"/>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7" w:name="S勾选"/>
            <w:r>
              <w:rPr>
                <w:rFonts w:hint="eastAsia"/>
                <w:sz w:val="22"/>
                <w:szCs w:val="22"/>
                <w:lang w:val="en-US" w:eastAsia="zh-CN"/>
              </w:rPr>
              <w:t>■</w:t>
            </w:r>
            <w:bookmarkEnd w:id="7"/>
            <w:r>
              <w:rPr>
                <w:rFonts w:hint="eastAsia"/>
                <w:sz w:val="22"/>
                <w:szCs w:val="22"/>
                <w:lang w:val="en-US" w:eastAsia="zh-CN"/>
              </w:rPr>
              <w:t xml:space="preserve"> GB/T 45001-2020 idt ISO 45001:2018标准；</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8" w:name="体系人数"/>
            <w:r>
              <w:rPr>
                <w:rFonts w:hint="eastAsia"/>
                <w:sz w:val="22"/>
                <w:szCs w:val="22"/>
                <w:lang w:val="en-US" w:eastAsia="zh-CN"/>
              </w:rPr>
              <w:t>E:125,O:125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2" w:name="特殊审核勾选"/>
            <w:r>
              <w:rPr>
                <w:rFonts w:hint="eastAsia"/>
                <w:b/>
                <w:color w:val="000000" w:themeColor="text1"/>
                <w:spacing w:val="-2"/>
                <w:sz w:val="21"/>
                <w:szCs w:val="21"/>
                <w:lang w:val="en-US" w:eastAsia="zh-CN"/>
              </w:rPr>
              <w:t>□</w:t>
            </w:r>
            <w:bookmarkEnd w:id="12"/>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3" w:name="组织名称Add1"/>
            <w:r>
              <w:rPr>
                <w:rFonts w:hint="eastAsia" w:ascii="Times New Roman" w:hAnsi="Times New Roman" w:eastAsia="宋体" w:cs="Times New Roman"/>
                <w:b w:val="0"/>
                <w:kern w:val="2"/>
                <w:sz w:val="22"/>
                <w:szCs w:val="22"/>
                <w:lang w:val="en-US" w:eastAsia="zh-CN" w:bidi="ar-SA"/>
              </w:rPr>
              <w:t>铭品电缆集团股份有限公司</w:t>
            </w:r>
            <w:bookmarkEnd w:id="13"/>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4" w:name="审核范围"/>
            <w:r>
              <w:rPr>
                <w:rFonts w:hint="eastAsia" w:cs="Times New Roman"/>
                <w:b w:val="0"/>
                <w:kern w:val="2"/>
                <w:sz w:val="22"/>
                <w:szCs w:val="22"/>
                <w:lang w:val="en-US" w:eastAsia="zh-CN" w:bidi="ar-SA"/>
              </w:rPr>
              <w:t>E：资质许可范围内额定电压450V/750V及以下聚氯乙烯绝缘电线电缆、塑料绝缘控制电缆、额定电压≤35KV挤包绝缘电力电缆、额定电压≤10KV架空绝缘电缆的研发、生产所涉及场所的相关环境管理活动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O：资质许可范围内额定电压450V/750V及以下聚氯乙烯绝缘电线电缆、塑料绝缘控制电缆、额定电压≤35KV挤包绝缘电力电缆、额定电压≤10KV架空绝缘电缆的研发、生产所涉及场所的相关职业健康安全管理活动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5" w:name="注册地址"/>
            <w:r>
              <w:rPr>
                <w:rFonts w:hint="eastAsia" w:ascii="Times New Roman" w:hAnsi="Times New Roman" w:eastAsia="宋体" w:cs="Times New Roman"/>
                <w:b w:val="0"/>
                <w:kern w:val="2"/>
                <w:sz w:val="22"/>
                <w:szCs w:val="22"/>
                <w:lang w:val="en-GB" w:eastAsia="zh-CN" w:bidi="ar-SA"/>
              </w:rPr>
              <w:t>台州市临海市浙江头门港经济开发区建港路18号</w:t>
            </w:r>
            <w:bookmarkEnd w:id="15"/>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6" w:name="办公地址"/>
            <w:r>
              <w:rPr>
                <w:rFonts w:hint="eastAsia" w:ascii="Times New Roman" w:hAnsi="Times New Roman" w:eastAsia="宋体" w:cs="Times New Roman"/>
                <w:b w:val="0"/>
                <w:kern w:val="2"/>
                <w:sz w:val="22"/>
                <w:szCs w:val="22"/>
                <w:lang w:val="en-GB" w:eastAsia="zh-CN" w:bidi="ar-SA"/>
              </w:rPr>
              <w:t>台州市临海市浙江头门港经济开发区建港路18号</w:t>
            </w:r>
            <w:bookmarkEnd w:id="16"/>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ascii="微软雅黑" w:hAnsi="微软雅黑" w:eastAsia="微软雅黑" w:cs="微软雅黑"/>
                <w:i w:val="0"/>
                <w:iCs w:val="0"/>
                <w:caps w:val="0"/>
                <w:spacing w:val="0"/>
                <w:sz w:val="19"/>
                <w:szCs w:val="19"/>
                <w:shd w:val="clear" w:fill="FFFFFF"/>
              </w:rPr>
              <w:t>Mingpin Cable Group Co., 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vMerge w:val="restart"/>
          </w:tcPr>
          <w:p>
            <w:pPr>
              <w:snapToGrid w:val="0"/>
              <w:spacing w:line="0" w:lineRule="atLeast"/>
              <w:jc w:val="left"/>
              <w:rPr>
                <w:rFonts w:hint="eastAsia"/>
                <w:sz w:val="21"/>
                <w:szCs w:val="16"/>
                <w:lang w:val="en-US" w:eastAsia="zh-CN"/>
              </w:rPr>
            </w:pPr>
            <w:r>
              <w:rPr>
                <w:rFonts w:ascii="微软雅黑" w:hAnsi="微软雅黑" w:eastAsia="微软雅黑" w:cs="微软雅黑"/>
                <w:i w:val="0"/>
                <w:iCs w:val="0"/>
                <w:caps w:val="0"/>
                <w:spacing w:val="0"/>
                <w:sz w:val="19"/>
                <w:szCs w:val="19"/>
                <w:shd w:val="clear" w:fill="FFFFFF"/>
              </w:rPr>
              <w:t>The research and development of PVC 450V/750V and below insulated wire and cable, plastic insulation control cable, rated voltage ≤ 35KV crowded insulated electric cable, rated voltage ≤ 10KV overhead insulation cable and the site involved in production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vMerge w:val="continue"/>
            <w:tcBorders/>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ascii="微软雅黑" w:hAnsi="微软雅黑" w:eastAsia="微软雅黑" w:cs="微软雅黑"/>
                <w:i w:val="0"/>
                <w:iCs w:val="0"/>
                <w:caps w:val="0"/>
                <w:spacing w:val="0"/>
                <w:sz w:val="19"/>
                <w:szCs w:val="19"/>
                <w:shd w:val="clear" w:fill="FFFFFF"/>
              </w:rPr>
              <w:t>No.18, Jiangang Road, Zhejiang Toumen Port Economic Development Zone, Linhai City, Taizhou City</w:t>
            </w:r>
            <w:r>
              <w:rPr>
                <w:rFonts w:hint="eastAsia" w:cs="Arial"/>
                <w:b/>
                <w:bCs/>
                <w:sz w:val="22"/>
                <w:szCs w:val="16"/>
                <w:lang w:val="en-US" w:eastAsia="zh-CN"/>
              </w:rPr>
              <w:t xml:space="preserve">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ascii="微软雅黑" w:hAnsi="微软雅黑" w:eastAsia="微软雅黑" w:cs="微软雅黑"/>
                <w:i w:val="0"/>
                <w:iCs w:val="0"/>
                <w:caps w:val="0"/>
                <w:spacing w:val="0"/>
                <w:sz w:val="19"/>
                <w:szCs w:val="19"/>
                <w:shd w:val="clear" w:fill="FFFFFF"/>
              </w:rPr>
              <w:t>Research and development of PVC insulation wire and cable with rated voltage 450V/750V and below, plastic insulation control cable, rated voltage ≤ 35KV crowded insulated power cable, rated voltage ≤ 10KV overhead insulation cable, related occupational health and safety management activities involved in production</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5013" w:type="dxa"/>
            <w:gridSpan w:val="4"/>
            <w:vMerge w:val="restart"/>
            <w:tcBorders/>
          </w:tcPr>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EnMS</w:t>
            </w:r>
          </w:p>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ascii="微软雅黑" w:hAnsi="微软雅黑" w:eastAsia="微软雅黑" w:cs="微软雅黑"/>
                <w:i w:val="0"/>
                <w:iCs w:val="0"/>
                <w:caps w:val="0"/>
                <w:spacing w:val="0"/>
                <w:sz w:val="19"/>
                <w:szCs w:val="19"/>
                <w:shd w:val="clear" w:fill="FFFFFF"/>
              </w:rPr>
              <w:t>No.18, Jiangang Road, Zhejiang Toumen Port Economic Development Zone, Linhai City, Taizhou City</w:t>
            </w:r>
            <w:r>
              <w:rPr>
                <w:rFonts w:hint="eastAsia" w:cs="Arial"/>
                <w:b/>
                <w:bCs/>
                <w:sz w:val="22"/>
                <w:szCs w:val="16"/>
                <w:lang w:val="en-US" w:eastAsia="zh-CN"/>
              </w:rPr>
              <w:t xml:space="preserve"> P.R.China</w:t>
            </w:r>
          </w:p>
        </w:tc>
        <w:tc>
          <w:tcPr>
            <w:tcW w:w="5013" w:type="dxa"/>
            <w:gridSpan w:val="4"/>
            <w:vMerge w:val="continue"/>
            <w:tcBorders/>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hint="eastAsia" w:ascii="Times New Roman" w:hAnsi="Times New Roman" w:eastAsia="宋体" w:cs="Times New Roman"/>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hint="eastAsia" w:ascii="Times New Roman" w:hAnsi="Times New Roman" w:eastAsia="宋体" w:cs="Times New Roman"/>
                <w:b/>
                <w:bCs/>
                <w:kern w:val="2"/>
                <w:sz w:val="22"/>
                <w:szCs w:val="22"/>
                <w:lang w:val="en-US" w:eastAsia="zh-CN" w:bidi="ar-SA"/>
              </w:rPr>
            </w:pPr>
            <w:r>
              <w:rPr>
                <w:b/>
                <w:bCs/>
                <w:sz w:val="22"/>
                <w:szCs w:val="22"/>
                <w:lang w:val="en-GB" w:eastAsia="zh-CN"/>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公司名称 - 总部</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hint="eastAsia" w:cs="Arial"/>
                <w:b/>
                <w:bCs/>
                <w:sz w:val="22"/>
                <w:szCs w:val="22"/>
                <w:lang w:val="en-US" w:eastAsia="zh-CN"/>
              </w:rPr>
            </w:pPr>
            <w:r>
              <w:rPr>
                <w:rFonts w:cs="Arial"/>
                <w:b/>
                <w:bCs/>
                <w:sz w:val="22"/>
                <w:szCs w:val="22"/>
                <w:lang w:val="en-US"/>
              </w:rPr>
              <w:t>Company Name – HQ</w:t>
            </w:r>
          </w:p>
          <w:p>
            <w:pPr>
              <w:pStyle w:val="16"/>
              <w:spacing w:before="0" w:after="0"/>
              <w:jc w:val="left"/>
              <w:rPr>
                <w:rFonts w:cs="Arial"/>
                <w:b/>
                <w:bCs/>
                <w:sz w:val="22"/>
                <w:szCs w:val="22"/>
                <w:lang w:val="en-US"/>
              </w:rPr>
            </w:pPr>
            <w:r>
              <w:rPr>
                <w:rFonts w:cs="Arial"/>
                <w:b/>
                <w:bCs/>
                <w:sz w:val="22"/>
                <w:szCs w:val="22"/>
                <w:lang w:val="en-US"/>
              </w:rPr>
              <w:t>Registration Address:</w:t>
            </w:r>
          </w:p>
          <w:p>
            <w:pPr>
              <w:pStyle w:val="16"/>
              <w:spacing w:before="0" w:after="0"/>
              <w:jc w:val="left"/>
              <w:rPr>
                <w:rFonts w:hint="eastAsia" w:cs="Arial"/>
                <w:b/>
                <w:bCs/>
                <w:sz w:val="22"/>
                <w:szCs w:val="22"/>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工厂</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pStyle w:val="16"/>
              <w:spacing w:before="0" w:after="0"/>
              <w:jc w:val="left"/>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hint="eastAsia" w:cs="Arial"/>
                <w:b/>
                <w:bCs/>
                <w:sz w:val="22"/>
                <w:szCs w:val="22"/>
                <w:lang w:val="en-US"/>
              </w:rPr>
            </w:pPr>
            <w:r>
              <w:rPr>
                <w:rFonts w:cs="Arial"/>
                <w:b/>
                <w:bCs/>
                <w:sz w:val="22"/>
                <w:szCs w:val="22"/>
                <w:lang w:val="en-US"/>
              </w:rPr>
              <w:t>Registration Address:</w:t>
            </w:r>
          </w:p>
          <w:p>
            <w:pPr>
              <w:pStyle w:val="16"/>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销售办公室</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pacing w:before="0" w:after="0"/>
              <w:rPr>
                <w:rFonts w:hint="eastAsia" w:ascii="Times New Roman" w:hAnsi="Times New Roman" w:eastAsia="宋体" w:cs="Times New Roman"/>
                <w:kern w:val="2"/>
                <w:sz w:val="22"/>
                <w:szCs w:val="22"/>
                <w:lang w:val="en-US" w:eastAsia="zh-CN" w:bidi="ar-SA"/>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hint="eastAsia" w:cs="Arial"/>
                <w:b/>
                <w:bCs/>
                <w:sz w:val="22"/>
                <w:szCs w:val="22"/>
                <w:lang w:val="en-US"/>
              </w:rPr>
            </w:pPr>
            <w:r>
              <w:rPr>
                <w:rFonts w:cs="Arial"/>
                <w:b/>
                <w:bCs/>
                <w:sz w:val="22"/>
                <w:szCs w:val="22"/>
                <w:lang w:val="en-US"/>
              </w:rPr>
              <w:t>Registration Address:</w:t>
            </w:r>
          </w:p>
          <w:p>
            <w:pPr>
              <w:spacing w:before="0" w:after="0"/>
              <w:rPr>
                <w:rFonts w:hint="eastAsia" w:ascii="Times New Roman" w:hAnsi="Times New Roman" w:eastAsia="宋体" w:cs="Times New Roman"/>
                <w:kern w:val="2"/>
                <w:sz w:val="22"/>
                <w:szCs w:val="22"/>
                <w:lang w:val="en-US" w:eastAsia="zh-CN" w:bidi="ar-SA"/>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17" w:name="组织名称Add2"/>
      <w:r>
        <w:rPr>
          <w:rFonts w:hint="eastAsia"/>
          <w:b/>
          <w:color w:val="000000" w:themeColor="text1"/>
          <w:sz w:val="22"/>
          <w:szCs w:val="22"/>
          <w:u w:val="single"/>
          <w:lang w:val="en-US" w:eastAsia="zh-CN"/>
        </w:rPr>
        <w:t>铭品电缆集团股份有限公司</w:t>
      </w:r>
      <w:bookmarkEnd w:id="17"/>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18" w:name="证书编号Add1"/>
      <w:r>
        <w:rPr>
          <w:rFonts w:hint="eastAsia"/>
          <w:b/>
          <w:color w:val="000000" w:themeColor="text1"/>
          <w:sz w:val="22"/>
          <w:szCs w:val="22"/>
          <w:u w:val="single"/>
          <w:lang w:val="en-US" w:eastAsia="zh-CN"/>
        </w:rPr>
        <w:t>E:,O:</w:t>
      </w:r>
      <w:bookmarkEnd w:id="18"/>
      <w:r>
        <w:rPr>
          <w:rFonts w:hint="eastAsia"/>
          <w:b/>
          <w:color w:val="000000" w:themeColor="text1"/>
          <w:sz w:val="22"/>
          <w:szCs w:val="22"/>
          <w:u w:val="single"/>
          <w:lang w:val="en-US" w:eastAsia="zh-CN"/>
        </w:rPr>
        <w:t xml:space="preserve"> </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19" w:name="生产地址"/>
      <w:r>
        <w:rPr>
          <w:rFonts w:hint="eastAsia"/>
          <w:b/>
          <w:color w:val="000000" w:themeColor="text1"/>
          <w:sz w:val="22"/>
          <w:szCs w:val="22"/>
          <w:u w:val="single"/>
          <w:lang w:val="en-US" w:eastAsia="zh-CN"/>
        </w:rPr>
        <w:t>台州市临海市浙江头门港经济开发区建港路18号</w:t>
      </w:r>
      <w:bookmarkEnd w:id="19"/>
      <w:r>
        <w:rPr>
          <w:rFonts w:hint="eastAsia"/>
          <w:b/>
          <w:color w:val="000000" w:themeColor="text1"/>
          <w:sz w:val="22"/>
          <w:szCs w:val="22"/>
          <w:u w:val="single"/>
          <w:lang w:val="en-US" w:eastAsia="zh-CN"/>
        </w:rPr>
        <w:t xml:space="preserve">  </w:t>
      </w:r>
    </w:p>
    <w:p>
      <w:pPr>
        <w:pStyle w:val="2"/>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2"/>
        <w:spacing w:line="400" w:lineRule="exact"/>
        <w:ind w:firstLine="1546"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w:t>
            </w:r>
            <w:r>
              <w:rPr>
                <w:rFonts w:hint="eastAsia" w:ascii="宋体" w:hAnsi="宋体"/>
                <w:b/>
                <w:color w:val="000000" w:themeColor="text1"/>
                <w:sz w:val="24"/>
                <w:szCs w:val="24"/>
                <w:lang w:val="en-US" w:eastAsia="zh-CN"/>
              </w:rPr>
              <w:t>源</w:t>
            </w:r>
            <w:r>
              <w:rPr>
                <w:rFonts w:hint="eastAsia" w:ascii="宋体" w:hAnsi="宋体"/>
                <w:b/>
                <w:color w:val="000000" w:themeColor="text1"/>
                <w:sz w:val="24"/>
                <w:szCs w:val="24"/>
              </w:rPr>
              <w:t>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rPr>
                <w:rFonts w:hint="eastAsia" w:ascii="宋体" w:hAnsi="宋体" w:eastAsia="宋体"/>
                <w:b/>
                <w:color w:val="000000" w:themeColor="text1"/>
                <w:szCs w:val="24"/>
                <w:lang w:eastAsia="zh-CN"/>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rPr>
                <w:rFonts w:hint="eastAsia" w:ascii="宋体" w:hAnsi="宋体" w:eastAsia="宋体"/>
                <w:b/>
                <w:color w:val="000000" w:themeColor="text1"/>
                <w:szCs w:val="24"/>
                <w:lang w:eastAsia="zh-CN"/>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2"/>
              <w:spacing w:line="320" w:lineRule="exact"/>
              <w:ind w:firstLine="0"/>
              <w:rPr>
                <w:rFonts w:hint="eastAsia"/>
                <w:sz w:val="20"/>
              </w:rPr>
            </w:pPr>
          </w:p>
        </w:tc>
      </w:tr>
    </w:tbl>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7B7D1A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2021-09-08T00:53:32Z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2052-11.1.0.10503</vt:lpwstr>
  </property>
</Properties>
</file>