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EFC" w:rsidRDefault="001F0E13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018"/>
        <w:gridCol w:w="294"/>
        <w:gridCol w:w="680"/>
        <w:gridCol w:w="351"/>
        <w:gridCol w:w="1098"/>
      </w:tblGrid>
      <w:tr w:rsidR="00C87EFC">
        <w:trPr>
          <w:trHeight w:val="557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1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成都尊上伯乐文化传播有限公司</w:t>
            </w:r>
            <w:bookmarkEnd w:id="0"/>
          </w:p>
        </w:tc>
      </w:tr>
      <w:tr w:rsidR="00C87EFC">
        <w:trPr>
          <w:trHeight w:val="557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1"/>
            <w:vAlign w:val="center"/>
          </w:tcPr>
          <w:p w:rsidR="00C87EFC" w:rsidRDefault="001F0E1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成都市温江区柳城街道永宁正街</w:t>
            </w:r>
            <w:r>
              <w:rPr>
                <w:rFonts w:asciiTheme="minorEastAsia" w:eastAsiaTheme="minorEastAsia" w:hAnsiTheme="minorEastAsia"/>
                <w:sz w:val="20"/>
              </w:rPr>
              <w:t>467-469</w:t>
            </w:r>
            <w:r>
              <w:rPr>
                <w:rFonts w:asciiTheme="minorEastAsia" w:eastAsiaTheme="minorEastAsia" w:hAnsiTheme="minorEastAsia"/>
                <w:sz w:val="20"/>
              </w:rPr>
              <w:t>号一层</w:t>
            </w:r>
            <w:bookmarkEnd w:id="1"/>
          </w:p>
        </w:tc>
      </w:tr>
      <w:tr w:rsidR="00C87EFC">
        <w:trPr>
          <w:trHeight w:val="557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1"/>
            <w:vAlign w:val="center"/>
          </w:tcPr>
          <w:p w:rsidR="00C87EFC" w:rsidRDefault="001F0E1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成都市温江区柳城街道永宁正街</w:t>
            </w:r>
            <w:r>
              <w:rPr>
                <w:rFonts w:asciiTheme="minorEastAsia" w:eastAsiaTheme="minorEastAsia" w:hAnsiTheme="minorEastAsia"/>
                <w:sz w:val="20"/>
              </w:rPr>
              <w:t>467-469</w:t>
            </w:r>
            <w:r>
              <w:rPr>
                <w:rFonts w:asciiTheme="minorEastAsia" w:eastAsiaTheme="minorEastAsia" w:hAnsiTheme="minorEastAsia"/>
                <w:sz w:val="20"/>
              </w:rPr>
              <w:t>号一层</w:t>
            </w:r>
            <w:bookmarkEnd w:id="2"/>
            <w:bookmarkEnd w:id="3"/>
          </w:p>
        </w:tc>
      </w:tr>
      <w:tr w:rsidR="00C87EFC">
        <w:trPr>
          <w:trHeight w:val="557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19983169629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  <w:bookmarkStart w:id="6" w:name="_GoBack"/>
            <w:bookmarkEnd w:id="6"/>
          </w:p>
        </w:tc>
      </w:tr>
      <w:tr w:rsidR="00C87EFC">
        <w:trPr>
          <w:trHeight w:val="557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>
              <w:rPr>
                <w:rFonts w:hint="eastAsia"/>
                <w:sz w:val="21"/>
                <w:szCs w:val="21"/>
              </w:rPr>
              <w:t>王朝辉</w:t>
            </w:r>
          </w:p>
        </w:tc>
        <w:tc>
          <w:tcPr>
            <w:tcW w:w="1090" w:type="dxa"/>
            <w:gridSpan w:val="2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 w:rsidR="00C87EFC" w:rsidRDefault="00C87EFC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</w:tr>
      <w:tr w:rsidR="00C87EFC">
        <w:trPr>
          <w:trHeight w:val="418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C87EFC" w:rsidRDefault="001F0E1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0829-2021-EO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6"/>
            <w:vAlign w:val="center"/>
          </w:tcPr>
          <w:p w:rsidR="00C87EFC" w:rsidRDefault="001F0E1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C87EFC" w:rsidRDefault="001F0E1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87EFC">
        <w:trPr>
          <w:trHeight w:val="455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1"/>
            <w:vAlign w:val="center"/>
          </w:tcPr>
          <w:p w:rsidR="00C87EFC" w:rsidRDefault="001F0E1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C87EFC">
        <w:trPr>
          <w:trHeight w:val="455"/>
        </w:trPr>
        <w:tc>
          <w:tcPr>
            <w:tcW w:w="1142" w:type="dxa"/>
          </w:tcPr>
          <w:p w:rsidR="00C87EFC" w:rsidRDefault="001F0E1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1"/>
            <w:vAlign w:val="bottom"/>
          </w:tcPr>
          <w:p w:rsidR="00C87EFC" w:rsidRDefault="001F0E1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C87EFC">
        <w:trPr>
          <w:trHeight w:val="455"/>
        </w:trPr>
        <w:tc>
          <w:tcPr>
            <w:tcW w:w="1142" w:type="dxa"/>
          </w:tcPr>
          <w:p w:rsidR="00C87EFC" w:rsidRDefault="001F0E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1"/>
            <w:vAlign w:val="bottom"/>
          </w:tcPr>
          <w:p w:rsidR="00C87EFC" w:rsidRDefault="001F0E1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87EFC">
        <w:trPr>
          <w:trHeight w:val="455"/>
        </w:trPr>
        <w:tc>
          <w:tcPr>
            <w:tcW w:w="1142" w:type="dxa"/>
          </w:tcPr>
          <w:p w:rsidR="00C87EFC" w:rsidRDefault="001F0E1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1"/>
            <w:vAlign w:val="bottom"/>
          </w:tcPr>
          <w:p w:rsidR="00C87EFC" w:rsidRDefault="001F0E1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C87EFC">
        <w:trPr>
          <w:trHeight w:val="990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1"/>
          </w:tcPr>
          <w:p w:rsidR="00C87EFC" w:rsidRDefault="001F0E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C87EFC" w:rsidRDefault="001F0E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C87EFC" w:rsidRDefault="001F0E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C87EFC" w:rsidRDefault="001F0E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C87EFC" w:rsidRDefault="001F0E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C87EFC" w:rsidRDefault="001F0E1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C87EFC" w:rsidRDefault="001F0E1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C87EFC">
        <w:trPr>
          <w:trHeight w:val="2265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8"/>
            <w:vAlign w:val="center"/>
          </w:tcPr>
          <w:p w:rsidR="00C87EFC" w:rsidRDefault="001F0E13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：广告设计、</w:t>
            </w:r>
            <w:r w:rsidR="00F0674B">
              <w:rPr>
                <w:sz w:val="20"/>
              </w:rPr>
              <w:t>制作（</w:t>
            </w:r>
            <w:r>
              <w:rPr>
                <w:rFonts w:hint="eastAsia"/>
                <w:sz w:val="20"/>
              </w:rPr>
              <w:t>组装</w:t>
            </w:r>
            <w:r w:rsidR="00F0674B"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、发布；舞台设备的租赁、安装所涉及场所的相关环境管理活动</w:t>
            </w:r>
          </w:p>
          <w:p w:rsidR="00C87EFC" w:rsidRDefault="001F0E13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：广告设计、</w:t>
            </w:r>
            <w:r w:rsidR="00F0674B">
              <w:rPr>
                <w:sz w:val="20"/>
              </w:rPr>
              <w:t>制作</w:t>
            </w:r>
            <w:r w:rsidR="00F0674B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组装</w:t>
            </w:r>
            <w:r w:rsidR="00F0674B">
              <w:rPr>
                <w:rFonts w:hint="eastAsia"/>
                <w:sz w:val="20"/>
              </w:rPr>
              <w:t>）</w:t>
            </w:r>
            <w:r>
              <w:rPr>
                <w:sz w:val="20"/>
              </w:rPr>
              <w:t>、发布；舞台设备的租赁、安装所涉及场所的相关职业健康安全管理活动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C87EFC" w:rsidRDefault="001F0E13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28.09.02;32.16.06;35.05.01</w:t>
            </w:r>
          </w:p>
          <w:p w:rsidR="00C87EFC" w:rsidRDefault="001F0E1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28.09.02;32.16.06;35.05.01</w:t>
            </w:r>
            <w:bookmarkEnd w:id="23"/>
          </w:p>
        </w:tc>
      </w:tr>
      <w:tr w:rsidR="00C87EFC">
        <w:trPr>
          <w:trHeight w:val="1184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1"/>
            <w:vAlign w:val="center"/>
          </w:tcPr>
          <w:p w:rsidR="00C87EFC" w:rsidRDefault="001F0E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C87EFC" w:rsidRDefault="001F0E1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C87EFC" w:rsidRDefault="001F0E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GB </w:t>
            </w:r>
            <w:r>
              <w:rPr>
                <w:rFonts w:ascii="宋体" w:hAnsi="宋体"/>
                <w:b/>
                <w:sz w:val="21"/>
                <w:szCs w:val="21"/>
              </w:rPr>
              <w:t>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C87EFC" w:rsidRDefault="001F0E1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C87EFC" w:rsidRDefault="001F0E1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C87EFC" w:rsidRDefault="001F0E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C87EFC" w:rsidRDefault="001F0E1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A/0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87EFC">
        <w:trPr>
          <w:trHeight w:val="430"/>
        </w:trPr>
        <w:tc>
          <w:tcPr>
            <w:tcW w:w="1142" w:type="dxa"/>
            <w:vMerge w:val="restart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1"/>
            <w:vAlign w:val="center"/>
          </w:tcPr>
          <w:p w:rsidR="00C87EFC" w:rsidRDefault="001F0E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87EFC">
        <w:trPr>
          <w:trHeight w:val="465"/>
        </w:trPr>
        <w:tc>
          <w:tcPr>
            <w:tcW w:w="1142" w:type="dxa"/>
            <w:vMerge/>
            <w:vAlign w:val="center"/>
          </w:tcPr>
          <w:p w:rsidR="00C87EFC" w:rsidRDefault="00C87EFC">
            <w:pPr>
              <w:rPr>
                <w:sz w:val="20"/>
              </w:rPr>
            </w:pPr>
          </w:p>
        </w:tc>
        <w:tc>
          <w:tcPr>
            <w:tcW w:w="9179" w:type="dxa"/>
            <w:gridSpan w:val="11"/>
            <w:vAlign w:val="center"/>
          </w:tcPr>
          <w:p w:rsidR="00C87EFC" w:rsidRDefault="001F0E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87EFC">
        <w:trPr>
          <w:trHeight w:val="465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审核语言</w:t>
            </w:r>
          </w:p>
        </w:tc>
        <w:tc>
          <w:tcPr>
            <w:tcW w:w="9179" w:type="dxa"/>
            <w:gridSpan w:val="11"/>
            <w:vAlign w:val="center"/>
          </w:tcPr>
          <w:p w:rsidR="00C87EFC" w:rsidRDefault="001F0E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C87EFC">
        <w:trPr>
          <w:trHeight w:val="465"/>
        </w:trPr>
        <w:tc>
          <w:tcPr>
            <w:tcW w:w="10321" w:type="dxa"/>
            <w:gridSpan w:val="12"/>
            <w:vAlign w:val="center"/>
          </w:tcPr>
          <w:p w:rsidR="00C87EFC" w:rsidRDefault="001F0E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87EFC">
        <w:trPr>
          <w:trHeight w:val="465"/>
        </w:trPr>
        <w:tc>
          <w:tcPr>
            <w:tcW w:w="1142" w:type="dxa"/>
            <w:vAlign w:val="center"/>
          </w:tcPr>
          <w:p w:rsidR="00C87EFC" w:rsidRDefault="001F0E1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52" w:type="dxa"/>
            <w:gridSpan w:val="2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5" w:type="dxa"/>
            <w:gridSpan w:val="3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98" w:type="dxa"/>
            <w:vAlign w:val="center"/>
          </w:tcPr>
          <w:p w:rsidR="00C87EFC" w:rsidRDefault="001F0E1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87EFC">
        <w:trPr>
          <w:trHeight w:val="465"/>
        </w:trPr>
        <w:tc>
          <w:tcPr>
            <w:tcW w:w="1142" w:type="dxa"/>
            <w:vAlign w:val="center"/>
          </w:tcPr>
          <w:p w:rsidR="00C87EFC" w:rsidRDefault="001F0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952" w:type="dxa"/>
            <w:gridSpan w:val="2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E:28.09.02,32.16.06,35.05.01</w:t>
            </w:r>
          </w:p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O:28.09.02,32.16.06,35.05.01</w:t>
            </w:r>
          </w:p>
        </w:tc>
        <w:tc>
          <w:tcPr>
            <w:tcW w:w="1325" w:type="dxa"/>
            <w:gridSpan w:val="3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098" w:type="dxa"/>
            <w:vAlign w:val="center"/>
          </w:tcPr>
          <w:p w:rsidR="00C87EFC" w:rsidRDefault="00C87EFC">
            <w:pPr>
              <w:rPr>
                <w:sz w:val="20"/>
                <w:lang w:val="de-DE"/>
              </w:rPr>
            </w:pPr>
          </w:p>
        </w:tc>
      </w:tr>
      <w:tr w:rsidR="00C87EFC">
        <w:trPr>
          <w:trHeight w:val="465"/>
        </w:trPr>
        <w:tc>
          <w:tcPr>
            <w:tcW w:w="1142" w:type="dxa"/>
            <w:vAlign w:val="center"/>
          </w:tcPr>
          <w:p w:rsidR="00C87EFC" w:rsidRDefault="001F0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952" w:type="dxa"/>
            <w:gridSpan w:val="2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E:32.16.06,35.05.01</w:t>
            </w:r>
          </w:p>
        </w:tc>
        <w:tc>
          <w:tcPr>
            <w:tcW w:w="1325" w:type="dxa"/>
            <w:gridSpan w:val="3"/>
            <w:vAlign w:val="center"/>
          </w:tcPr>
          <w:p w:rsidR="00C87EFC" w:rsidRDefault="001F0E1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098" w:type="dxa"/>
            <w:vAlign w:val="center"/>
          </w:tcPr>
          <w:p w:rsidR="00C87EFC" w:rsidRDefault="00C87EFC">
            <w:pPr>
              <w:rPr>
                <w:sz w:val="20"/>
                <w:lang w:val="de-DE"/>
              </w:rPr>
            </w:pPr>
          </w:p>
        </w:tc>
      </w:tr>
      <w:tr w:rsidR="00C87EFC">
        <w:trPr>
          <w:trHeight w:val="827"/>
        </w:trPr>
        <w:tc>
          <w:tcPr>
            <w:tcW w:w="1142" w:type="dxa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C87EFC" w:rsidRDefault="00C87E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87EFC" w:rsidRDefault="00C87EF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C87EFC" w:rsidRDefault="00C87EFC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 w:rsidR="00C87EFC" w:rsidRDefault="00C87EFC">
            <w:pPr>
              <w:jc w:val="center"/>
              <w:rPr>
                <w:sz w:val="21"/>
                <w:szCs w:val="21"/>
              </w:rPr>
            </w:pPr>
          </w:p>
        </w:tc>
      </w:tr>
      <w:tr w:rsidR="00C87EFC">
        <w:trPr>
          <w:trHeight w:val="465"/>
        </w:trPr>
        <w:tc>
          <w:tcPr>
            <w:tcW w:w="10321" w:type="dxa"/>
            <w:gridSpan w:val="12"/>
            <w:vAlign w:val="center"/>
          </w:tcPr>
          <w:p w:rsidR="00C87EFC" w:rsidRDefault="001F0E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87EFC">
        <w:trPr>
          <w:trHeight w:val="465"/>
        </w:trPr>
        <w:tc>
          <w:tcPr>
            <w:tcW w:w="1142" w:type="dxa"/>
            <w:vAlign w:val="center"/>
          </w:tcPr>
          <w:p w:rsidR="00C87EFC" w:rsidRDefault="001F0E1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C87EFC" w:rsidRDefault="001F0E1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C87EFC" w:rsidRDefault="001F0E1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52" w:type="dxa"/>
            <w:gridSpan w:val="2"/>
            <w:vAlign w:val="center"/>
          </w:tcPr>
          <w:p w:rsidR="00C87EFC" w:rsidRDefault="001F0E1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5" w:type="dxa"/>
            <w:gridSpan w:val="3"/>
            <w:vAlign w:val="center"/>
          </w:tcPr>
          <w:p w:rsidR="00C87EFC" w:rsidRDefault="001F0E1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98" w:type="dxa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87EFC">
        <w:trPr>
          <w:trHeight w:val="567"/>
        </w:trPr>
        <w:tc>
          <w:tcPr>
            <w:tcW w:w="1142" w:type="dxa"/>
            <w:vAlign w:val="center"/>
          </w:tcPr>
          <w:p w:rsidR="00C87EFC" w:rsidRDefault="00C87EFC"/>
        </w:tc>
        <w:tc>
          <w:tcPr>
            <w:tcW w:w="1350" w:type="dxa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87EFC" w:rsidRDefault="00C87EF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87EFC" w:rsidRDefault="00C87EFC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87EFC" w:rsidRDefault="00C87EFC">
            <w:pPr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C87EFC" w:rsidRDefault="00C87EFC"/>
        </w:tc>
        <w:tc>
          <w:tcPr>
            <w:tcW w:w="1098" w:type="dxa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</w:tr>
      <w:tr w:rsidR="00C87EFC">
        <w:trPr>
          <w:trHeight w:val="465"/>
        </w:trPr>
        <w:tc>
          <w:tcPr>
            <w:tcW w:w="1142" w:type="dxa"/>
            <w:vAlign w:val="center"/>
          </w:tcPr>
          <w:p w:rsidR="00C87EFC" w:rsidRDefault="00C87EFC"/>
        </w:tc>
        <w:tc>
          <w:tcPr>
            <w:tcW w:w="1350" w:type="dxa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C87EFC" w:rsidRDefault="00C87EF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C87EFC" w:rsidRDefault="00C87EFC">
            <w:pPr>
              <w:rPr>
                <w:sz w:val="18"/>
                <w:szCs w:val="18"/>
              </w:rPr>
            </w:pPr>
          </w:p>
        </w:tc>
        <w:tc>
          <w:tcPr>
            <w:tcW w:w="1952" w:type="dxa"/>
            <w:gridSpan w:val="2"/>
            <w:vAlign w:val="center"/>
          </w:tcPr>
          <w:p w:rsidR="00C87EFC" w:rsidRDefault="00C87EFC"/>
        </w:tc>
        <w:tc>
          <w:tcPr>
            <w:tcW w:w="1325" w:type="dxa"/>
            <w:gridSpan w:val="3"/>
            <w:vAlign w:val="center"/>
          </w:tcPr>
          <w:p w:rsidR="00C87EFC" w:rsidRDefault="00C87EFC"/>
        </w:tc>
        <w:tc>
          <w:tcPr>
            <w:tcW w:w="1098" w:type="dxa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</w:tr>
      <w:tr w:rsidR="00C87EFC">
        <w:trPr>
          <w:trHeight w:val="729"/>
        </w:trPr>
        <w:tc>
          <w:tcPr>
            <w:tcW w:w="10321" w:type="dxa"/>
            <w:gridSpan w:val="12"/>
            <w:vAlign w:val="center"/>
          </w:tcPr>
          <w:p w:rsidR="00C87EFC" w:rsidRDefault="001F0E1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87EFC">
        <w:trPr>
          <w:trHeight w:val="586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2343" w:type="dxa"/>
            <w:gridSpan w:val="4"/>
            <w:vMerge w:val="restart"/>
            <w:vAlign w:val="center"/>
          </w:tcPr>
          <w:p w:rsidR="00C87EFC" w:rsidRDefault="001F0E1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98" w:type="dxa"/>
            <w:vMerge w:val="restart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</w:tr>
      <w:tr w:rsidR="00C87EFC">
        <w:trPr>
          <w:trHeight w:val="509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1098" w:type="dxa"/>
            <w:vMerge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</w:tr>
      <w:tr w:rsidR="00C87EFC">
        <w:trPr>
          <w:trHeight w:val="600"/>
        </w:trPr>
        <w:tc>
          <w:tcPr>
            <w:tcW w:w="1142" w:type="dxa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C87EFC" w:rsidRDefault="001F0E1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2021.09.25</w:t>
            </w:r>
          </w:p>
        </w:tc>
        <w:tc>
          <w:tcPr>
            <w:tcW w:w="1502" w:type="dxa"/>
            <w:gridSpan w:val="2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  <w:tc>
          <w:tcPr>
            <w:tcW w:w="2343" w:type="dxa"/>
            <w:gridSpan w:val="4"/>
            <w:vAlign w:val="center"/>
          </w:tcPr>
          <w:p w:rsidR="00C87EFC" w:rsidRDefault="001F0E1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98" w:type="dxa"/>
            <w:vAlign w:val="center"/>
          </w:tcPr>
          <w:p w:rsidR="00C87EFC" w:rsidRDefault="00C87EFC">
            <w:pPr>
              <w:rPr>
                <w:sz w:val="21"/>
                <w:szCs w:val="21"/>
              </w:rPr>
            </w:pPr>
          </w:p>
        </w:tc>
      </w:tr>
    </w:tbl>
    <w:p w:rsidR="00C87EFC" w:rsidRDefault="00C87EFC"/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pPr>
        <w:pStyle w:val="a0"/>
      </w:pPr>
    </w:p>
    <w:p w:rsidR="00C87EFC" w:rsidRDefault="00C87EFC">
      <w:r w:rsidRPr="00C87EFC">
        <w:rPr>
          <w:rFonts w:ascii="宋体" w:hAnsi="宋体"/>
          <w:b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7.25pt;margin-top:-62.7pt;width:13.5pt;height:13.15pt;z-index:251660288" filled="f" stroked="f">
            <v:textbox inset="0,0,0,0">
              <w:txbxContent>
                <w:p w:rsidR="00C87EFC" w:rsidRDefault="001F0E13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1F0E13">
        <w:rPr>
          <w:rFonts w:ascii="宋体" w:hAnsi="宋体" w:hint="eastAsia"/>
          <w:b/>
          <w:sz w:val="28"/>
        </w:rPr>
        <w:t>附表</w:t>
      </w:r>
      <w:r w:rsidR="001F0E13">
        <w:rPr>
          <w:rFonts w:ascii="宋体" w:hAnsi="宋体"/>
          <w:b/>
          <w:sz w:val="28"/>
        </w:rPr>
        <w:t>(</w:t>
      </w:r>
      <w:r w:rsidR="001F0E13">
        <w:rPr>
          <w:rFonts w:ascii="宋体" w:hAnsi="宋体" w:hint="eastAsia"/>
          <w:b/>
          <w:sz w:val="28"/>
        </w:rPr>
        <w:t>审核具体安排</w:t>
      </w:r>
      <w:r w:rsidR="001F0E13">
        <w:rPr>
          <w:rFonts w:ascii="宋体" w:hAnsi="宋体"/>
          <w:b/>
          <w:sz w:val="28"/>
        </w:rPr>
        <w:t>)</w:t>
      </w:r>
      <w:r w:rsidR="001F0E13">
        <w:rPr>
          <w:rFonts w:ascii="宋体" w:hAnsi="宋体"/>
          <w:sz w:val="28"/>
        </w:rPr>
        <w:t>: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1650"/>
        <w:gridCol w:w="988"/>
        <w:gridCol w:w="6025"/>
        <w:gridCol w:w="1065"/>
      </w:tblGrid>
      <w:tr w:rsidR="00C87EFC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C87EFC">
        <w:trPr>
          <w:cantSplit/>
          <w:trHeight w:val="396"/>
          <w:jc w:val="center"/>
        </w:trPr>
        <w:tc>
          <w:tcPr>
            <w:tcW w:w="652" w:type="dxa"/>
            <w:tcBorders>
              <w:lef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50" w:type="dxa"/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8" w:type="dxa"/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25" w:type="dxa"/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87EFC">
        <w:trPr>
          <w:cantSplit/>
          <w:trHeight w:val="396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9</w:t>
            </w:r>
          </w:p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C87EFC" w:rsidRDefault="00C87E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13" w:type="dxa"/>
            <w:gridSpan w:val="2"/>
            <w:vAlign w:val="center"/>
          </w:tcPr>
          <w:p w:rsidR="00C87EFC" w:rsidRDefault="001F0E13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</w:tc>
      </w:tr>
      <w:tr w:rsidR="00C87EFC">
        <w:trPr>
          <w:cantSplit/>
          <w:trHeight w:val="4888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</w:tcPr>
          <w:p w:rsidR="00C87EFC" w:rsidRDefault="00C87E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  <w:p w:rsidR="00C87EFC" w:rsidRDefault="00C87EFC">
            <w:pPr>
              <w:snapToGrid w:val="0"/>
              <w:spacing w:line="280" w:lineRule="exact"/>
              <w:jc w:val="center"/>
            </w:pPr>
          </w:p>
        </w:tc>
        <w:tc>
          <w:tcPr>
            <w:tcW w:w="988" w:type="dxa"/>
            <w:vAlign w:val="center"/>
          </w:tcPr>
          <w:p w:rsidR="00C87EFC" w:rsidRDefault="001F0E1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25" w:type="dxa"/>
          </w:tcPr>
          <w:p w:rsidR="00C87EFC" w:rsidRDefault="001F0E1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 w:hint="eastAsia"/>
                <w:sz w:val="21"/>
                <w:szCs w:val="21"/>
              </w:rPr>
              <w:t>;</w:t>
            </w:r>
            <w:r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策划总则；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措施的策划；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监测、分析和评估总则；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改进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C87EFC" w:rsidRDefault="00C87EF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EFC" w:rsidRDefault="001F0E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C87EFC" w:rsidRDefault="001F0E13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组织及其环境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相关方需求与期望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确定体系范围</w:t>
            </w:r>
            <w:r>
              <w:rPr>
                <w:rFonts w:ascii="宋体" w:hAnsi="宋体" w:cs="新宋体" w:hint="eastAsia"/>
                <w:sz w:val="18"/>
                <w:szCs w:val="18"/>
              </w:rPr>
              <w:t>;4.4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体系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领导作用与承诺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;5.2</w:t>
            </w:r>
            <w:r>
              <w:rPr>
                <w:rFonts w:ascii="宋体" w:hAnsi="宋体" w:cs="新宋体" w:hint="eastAsia"/>
                <w:sz w:val="18"/>
                <w:szCs w:val="18"/>
              </w:rPr>
              <w:t>方针</w:t>
            </w:r>
            <w:r>
              <w:rPr>
                <w:rFonts w:ascii="宋体" w:hAnsi="宋体" w:cs="新宋体" w:hint="eastAsia"/>
                <w:sz w:val="18"/>
                <w:szCs w:val="18"/>
              </w:rPr>
              <w:t>;5.3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5.4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工作人员的协商和参与；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应对风险和机遇的措施；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资源；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文件化信息总则；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监视、测量、分析和评价；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内部审核；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管理评审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10.1</w:t>
            </w:r>
            <w:r>
              <w:rPr>
                <w:rFonts w:ascii="宋体" w:hAnsi="宋体" w:cs="新宋体" w:hint="eastAsia"/>
                <w:sz w:val="18"/>
                <w:szCs w:val="18"/>
              </w:rPr>
              <w:t>事件、不符合和纠正措施；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10.3</w:t>
            </w:r>
            <w:r>
              <w:rPr>
                <w:rFonts w:ascii="宋体" w:hAnsi="宋体" w:cs="新宋体" w:hint="eastAsia"/>
                <w:sz w:val="18"/>
                <w:szCs w:val="18"/>
              </w:rPr>
              <w:t>持续改进。</w:t>
            </w:r>
          </w:p>
          <w:p w:rsidR="00C87EFC" w:rsidRDefault="00C87EFC">
            <w:pPr>
              <w:rPr>
                <w:rFonts w:ascii="宋体" w:hAnsi="宋体" w:cs="新宋体"/>
                <w:sz w:val="21"/>
                <w:szCs w:val="21"/>
              </w:rPr>
            </w:pPr>
          </w:p>
          <w:p w:rsidR="00C87EFC" w:rsidRDefault="001F0E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</w:t>
            </w:r>
            <w:r>
              <w:rPr>
                <w:rFonts w:ascii="宋体" w:hAnsi="宋体" w:hint="eastAsia"/>
                <w:sz w:val="18"/>
                <w:szCs w:val="18"/>
              </w:rPr>
              <w:t>标准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规范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法规的执行情况、投诉或事故、监督抽查情况、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>
              <w:rPr>
                <w:rFonts w:ascii="宋体" w:hAnsi="宋体" w:hint="eastAsia"/>
                <w:sz w:val="18"/>
                <w:szCs w:val="18"/>
              </w:rPr>
              <w:t>一阶段问题</w:t>
            </w:r>
            <w:r>
              <w:rPr>
                <w:rFonts w:ascii="宋体" w:hAnsi="宋体" w:hint="eastAsia"/>
                <w:sz w:val="18"/>
                <w:szCs w:val="18"/>
              </w:rPr>
              <w:t>的验证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  <w:p w:rsidR="00C87EFC" w:rsidRDefault="001F0E1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</w:tc>
      </w:tr>
      <w:tr w:rsidR="00C87EFC">
        <w:trPr>
          <w:cantSplit/>
          <w:trHeight w:val="9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</w:tcPr>
          <w:p w:rsidR="00C87EFC" w:rsidRDefault="00C87E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C87EFC" w:rsidRDefault="00C87EF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8" w:type="dxa"/>
            <w:vAlign w:val="center"/>
          </w:tcPr>
          <w:p w:rsidR="00C87EFC" w:rsidRDefault="001F0E1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技术部</w:t>
            </w:r>
          </w:p>
        </w:tc>
        <w:tc>
          <w:tcPr>
            <w:tcW w:w="6025" w:type="dxa"/>
          </w:tcPr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EMS-2015;</w:t>
            </w:r>
            <w:r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</w:p>
          <w:p w:rsidR="00C87EFC" w:rsidRDefault="00C87EF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EMS-2015;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C87EFC" w:rsidRDefault="00C87EF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C87EFC" w:rsidRDefault="001F0E13">
            <w:pPr>
              <w:rPr>
                <w:sz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  <w:p w:rsidR="00C87EFC" w:rsidRDefault="001F0E1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</w:tc>
      </w:tr>
      <w:tr w:rsidR="00C87EFC">
        <w:trPr>
          <w:cantSplit/>
          <w:trHeight w:val="90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</w:tcPr>
          <w:p w:rsidR="00C87EFC" w:rsidRDefault="00C87E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13" w:type="dxa"/>
            <w:gridSpan w:val="2"/>
            <w:vAlign w:val="center"/>
          </w:tcPr>
          <w:p w:rsidR="00C87EFC" w:rsidRDefault="001F0E1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中午休息</w:t>
            </w:r>
            <w:r>
              <w:rPr>
                <w:rFonts w:ascii="宋体" w:hAnsi="宋体" w:cs="新宋体" w:hint="eastAsia"/>
                <w:sz w:val="21"/>
                <w:szCs w:val="21"/>
              </w:rPr>
              <w:t>1</w:t>
            </w:r>
            <w:r>
              <w:rPr>
                <w:rFonts w:ascii="宋体" w:hAnsi="宋体" w:cs="新宋体" w:hint="eastAsia"/>
                <w:sz w:val="21"/>
                <w:szCs w:val="21"/>
              </w:rPr>
              <w:t>小时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87EFC" w:rsidRDefault="00C87EFC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87EFC">
        <w:trPr>
          <w:cantSplit/>
          <w:trHeight w:val="2628"/>
          <w:jc w:val="center"/>
        </w:trPr>
        <w:tc>
          <w:tcPr>
            <w:tcW w:w="652" w:type="dxa"/>
            <w:tcBorders>
              <w:left w:val="single" w:sz="8" w:space="0" w:color="auto"/>
            </w:tcBorders>
          </w:tcPr>
          <w:p w:rsidR="00C87EFC" w:rsidRDefault="00C87E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vAlign w:val="center"/>
          </w:tcPr>
          <w:p w:rsidR="00C87EFC" w:rsidRDefault="001F0E1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88" w:type="dxa"/>
            <w:vAlign w:val="center"/>
          </w:tcPr>
          <w:p w:rsidR="00C87EFC" w:rsidRDefault="001F0E13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后勤部</w:t>
            </w:r>
          </w:p>
        </w:tc>
        <w:tc>
          <w:tcPr>
            <w:tcW w:w="6025" w:type="dxa"/>
          </w:tcPr>
          <w:p w:rsidR="00C87EFC" w:rsidRDefault="001F0E13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李林</w:t>
            </w:r>
          </w:p>
          <w:p w:rsidR="00C87EFC" w:rsidRDefault="001F0E1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组织的角色、职责和权限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6.1.3</w:t>
            </w:r>
            <w:r>
              <w:rPr>
                <w:rFonts w:hint="eastAsia"/>
                <w:sz w:val="18"/>
                <w:szCs w:val="18"/>
              </w:rPr>
              <w:t>合规义务；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目标及其达成的策划；</w:t>
            </w:r>
            <w:r>
              <w:rPr>
                <w:rFonts w:hint="eastAsia"/>
                <w:sz w:val="18"/>
                <w:szCs w:val="18"/>
              </w:rPr>
              <w:t>7.2</w:t>
            </w:r>
            <w:r>
              <w:rPr>
                <w:rFonts w:hint="eastAsia"/>
                <w:sz w:val="18"/>
                <w:szCs w:val="18"/>
              </w:rPr>
              <w:t>能力；</w:t>
            </w:r>
            <w:r>
              <w:rPr>
                <w:rFonts w:hint="eastAsia"/>
                <w:sz w:val="18"/>
                <w:szCs w:val="18"/>
              </w:rPr>
              <w:t>7.3</w:t>
            </w:r>
            <w:r>
              <w:rPr>
                <w:rFonts w:hint="eastAsia"/>
                <w:sz w:val="18"/>
                <w:szCs w:val="18"/>
              </w:rPr>
              <w:t>意识；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信息和沟通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7.5</w:t>
            </w:r>
            <w:r>
              <w:rPr>
                <w:rFonts w:hint="eastAsia"/>
                <w:sz w:val="18"/>
                <w:szCs w:val="18"/>
              </w:rPr>
              <w:t>文件化信息；</w:t>
            </w:r>
          </w:p>
          <w:p w:rsidR="00C87EFC" w:rsidRDefault="00C87EFC">
            <w:pPr>
              <w:rPr>
                <w:sz w:val="18"/>
                <w:szCs w:val="18"/>
              </w:rPr>
            </w:pPr>
          </w:p>
          <w:p w:rsidR="00C87EFC" w:rsidRDefault="001F0E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EMS-2015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文平</w:t>
            </w:r>
          </w:p>
          <w:p w:rsidR="00C87EFC" w:rsidRDefault="001F0E1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6.1.2</w:t>
            </w:r>
            <w:r>
              <w:rPr>
                <w:rFonts w:hint="eastAsia"/>
                <w:sz w:val="18"/>
                <w:szCs w:val="18"/>
              </w:rPr>
              <w:t>环境因素；</w:t>
            </w:r>
            <w:r>
              <w:rPr>
                <w:rFonts w:hint="eastAsia"/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</w:rPr>
              <w:t>运行策划和控制；</w:t>
            </w:r>
            <w:r>
              <w:rPr>
                <w:rFonts w:hint="eastAsia"/>
                <w:sz w:val="18"/>
                <w:szCs w:val="18"/>
              </w:rPr>
              <w:t>8.2</w:t>
            </w:r>
            <w:r>
              <w:rPr>
                <w:rFonts w:hint="eastAsia"/>
                <w:sz w:val="18"/>
                <w:szCs w:val="18"/>
              </w:rPr>
              <w:t>应急准备和响应；</w:t>
            </w:r>
            <w:r>
              <w:rPr>
                <w:rFonts w:hint="eastAsia"/>
                <w:sz w:val="18"/>
                <w:szCs w:val="18"/>
              </w:rPr>
              <w:t>9.1</w:t>
            </w:r>
            <w:r>
              <w:rPr>
                <w:rFonts w:hint="eastAsia"/>
                <w:sz w:val="18"/>
                <w:szCs w:val="18"/>
              </w:rPr>
              <w:t>监视、测量、分析与评估；</w:t>
            </w:r>
            <w:r>
              <w:rPr>
                <w:rFonts w:hint="eastAsia"/>
                <w:sz w:val="18"/>
                <w:szCs w:val="18"/>
              </w:rPr>
              <w:t>9.1.2</w:t>
            </w:r>
            <w:r>
              <w:rPr>
                <w:rFonts w:hint="eastAsia"/>
                <w:sz w:val="18"/>
                <w:szCs w:val="18"/>
              </w:rPr>
              <w:t>符合性评估；</w:t>
            </w:r>
            <w:r>
              <w:rPr>
                <w:rFonts w:hint="eastAsia"/>
                <w:sz w:val="18"/>
                <w:szCs w:val="18"/>
              </w:rPr>
              <w:t>10.2</w:t>
            </w:r>
            <w:r>
              <w:rPr>
                <w:rFonts w:hint="eastAsia"/>
                <w:sz w:val="18"/>
                <w:szCs w:val="18"/>
              </w:rPr>
              <w:t>不符合和纠正措施；</w:t>
            </w:r>
            <w:r>
              <w:rPr>
                <w:rFonts w:hint="eastAsia"/>
                <w:sz w:val="18"/>
                <w:szCs w:val="18"/>
              </w:rPr>
              <w:t>10.3</w:t>
            </w:r>
            <w:r>
              <w:rPr>
                <w:rFonts w:hint="eastAsia"/>
                <w:sz w:val="18"/>
                <w:szCs w:val="18"/>
              </w:rPr>
              <w:t>持续改进</w:t>
            </w:r>
            <w:r>
              <w:rPr>
                <w:rFonts w:hint="eastAsia"/>
                <w:sz w:val="18"/>
                <w:szCs w:val="18"/>
              </w:rPr>
              <w:t>/EMS</w:t>
            </w:r>
            <w:r>
              <w:rPr>
                <w:rFonts w:hint="eastAsia"/>
                <w:sz w:val="18"/>
                <w:szCs w:val="18"/>
              </w:rPr>
              <w:t>运行控制相关财务支出证据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C87EFC" w:rsidRDefault="00C87EFC">
            <w:pPr>
              <w:snapToGrid w:val="0"/>
              <w:spacing w:line="240" w:lineRule="exact"/>
              <w:rPr>
                <w:sz w:val="18"/>
                <w:szCs w:val="18"/>
              </w:rPr>
            </w:pPr>
          </w:p>
          <w:p w:rsidR="00C87EFC" w:rsidRDefault="001F0E13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ISO45001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文平</w:t>
            </w:r>
          </w:p>
          <w:p w:rsidR="00C87EFC" w:rsidRDefault="001F0E13">
            <w:pPr>
              <w:spacing w:line="300" w:lineRule="exact"/>
              <w:rPr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5.3</w:t>
            </w:r>
            <w:r>
              <w:rPr>
                <w:rFonts w:hint="eastAsia"/>
                <w:sz w:val="18"/>
                <w:szCs w:val="18"/>
              </w:rPr>
              <w:t>组织的角色、职责和权限；</w:t>
            </w:r>
            <w:r>
              <w:rPr>
                <w:rFonts w:hint="eastAsia"/>
                <w:sz w:val="18"/>
                <w:szCs w:val="18"/>
              </w:rPr>
              <w:t>6.1.2</w:t>
            </w:r>
            <w:r>
              <w:rPr>
                <w:rFonts w:hint="eastAsia"/>
                <w:sz w:val="18"/>
                <w:szCs w:val="18"/>
              </w:rPr>
              <w:t>危险源辨识和职业安全风险评价；</w:t>
            </w:r>
            <w:r>
              <w:rPr>
                <w:rFonts w:hint="eastAsia"/>
                <w:sz w:val="18"/>
                <w:szCs w:val="18"/>
              </w:rPr>
              <w:t>6.1.3</w:t>
            </w:r>
            <w:r>
              <w:rPr>
                <w:rFonts w:hint="eastAsia"/>
                <w:sz w:val="18"/>
                <w:szCs w:val="18"/>
              </w:rPr>
              <w:t>法律法规要求和其他要求；</w:t>
            </w:r>
            <w:r>
              <w:rPr>
                <w:rFonts w:hint="eastAsia"/>
                <w:sz w:val="18"/>
                <w:szCs w:val="18"/>
              </w:rPr>
              <w:t>6.2</w:t>
            </w:r>
            <w:r>
              <w:rPr>
                <w:rFonts w:hint="eastAsia"/>
                <w:sz w:val="18"/>
                <w:szCs w:val="18"/>
              </w:rPr>
              <w:t>目标及其实现的策划；</w:t>
            </w:r>
            <w:r>
              <w:rPr>
                <w:rFonts w:hint="eastAsia"/>
                <w:sz w:val="18"/>
                <w:szCs w:val="18"/>
              </w:rPr>
              <w:t>7.2</w:t>
            </w:r>
            <w:r>
              <w:rPr>
                <w:rFonts w:hint="eastAsia"/>
                <w:sz w:val="18"/>
                <w:szCs w:val="18"/>
              </w:rPr>
              <w:t>能力；</w:t>
            </w:r>
            <w:r>
              <w:rPr>
                <w:rFonts w:hint="eastAsia"/>
                <w:sz w:val="18"/>
                <w:szCs w:val="18"/>
              </w:rPr>
              <w:t>7.3</w:t>
            </w:r>
            <w:r>
              <w:rPr>
                <w:rFonts w:hint="eastAsia"/>
                <w:sz w:val="18"/>
                <w:szCs w:val="18"/>
              </w:rPr>
              <w:t>意识；</w:t>
            </w:r>
            <w:r>
              <w:rPr>
                <w:rFonts w:hint="eastAsia"/>
                <w:sz w:val="18"/>
                <w:szCs w:val="18"/>
              </w:rPr>
              <w:t>7.4</w:t>
            </w:r>
            <w:r>
              <w:rPr>
                <w:rFonts w:hint="eastAsia"/>
                <w:sz w:val="18"/>
                <w:szCs w:val="18"/>
              </w:rPr>
              <w:t>信息和沟通；</w:t>
            </w:r>
            <w:r>
              <w:rPr>
                <w:rFonts w:hint="eastAsia"/>
                <w:sz w:val="18"/>
                <w:szCs w:val="18"/>
              </w:rPr>
              <w:t>7.5</w:t>
            </w:r>
            <w:r>
              <w:rPr>
                <w:rFonts w:hint="eastAsia"/>
                <w:sz w:val="18"/>
                <w:szCs w:val="18"/>
              </w:rPr>
              <w:t>文件化信息；</w:t>
            </w:r>
            <w:r>
              <w:rPr>
                <w:rFonts w:hint="eastAsia"/>
                <w:sz w:val="18"/>
                <w:szCs w:val="18"/>
              </w:rPr>
              <w:t>8.1</w:t>
            </w:r>
            <w:r>
              <w:rPr>
                <w:rFonts w:hint="eastAsia"/>
                <w:sz w:val="18"/>
                <w:szCs w:val="18"/>
              </w:rPr>
              <w:t>运行策划和控制；</w:t>
            </w:r>
            <w:r>
              <w:rPr>
                <w:rFonts w:hint="eastAsia"/>
                <w:sz w:val="18"/>
                <w:szCs w:val="18"/>
              </w:rPr>
              <w:t>8.2</w:t>
            </w:r>
            <w:r>
              <w:rPr>
                <w:rFonts w:hint="eastAsia"/>
                <w:sz w:val="18"/>
                <w:szCs w:val="18"/>
              </w:rPr>
              <w:t>应急准备和响应；</w:t>
            </w:r>
            <w:r>
              <w:rPr>
                <w:rFonts w:hint="eastAsia"/>
                <w:sz w:val="18"/>
                <w:szCs w:val="18"/>
              </w:rPr>
              <w:t>9.1</w:t>
            </w:r>
            <w:r>
              <w:rPr>
                <w:rFonts w:hint="eastAsia"/>
                <w:sz w:val="18"/>
                <w:szCs w:val="18"/>
              </w:rPr>
              <w:t>监视、测量、分析和评价；</w:t>
            </w:r>
            <w:r>
              <w:rPr>
                <w:rFonts w:hint="eastAsia"/>
                <w:sz w:val="18"/>
                <w:szCs w:val="18"/>
              </w:rPr>
              <w:t>9.1.2</w:t>
            </w:r>
            <w:r>
              <w:rPr>
                <w:rFonts w:hint="eastAsia"/>
                <w:sz w:val="18"/>
                <w:szCs w:val="18"/>
              </w:rPr>
              <w:t>法律法规要求和其他要求的合规性评价；</w:t>
            </w:r>
            <w:r>
              <w:rPr>
                <w:rFonts w:hint="eastAsia"/>
                <w:sz w:val="18"/>
                <w:szCs w:val="18"/>
              </w:rPr>
              <w:t>10.2</w:t>
            </w:r>
            <w:r>
              <w:rPr>
                <w:rFonts w:hint="eastAsia"/>
                <w:sz w:val="18"/>
                <w:szCs w:val="18"/>
              </w:rPr>
              <w:t>不符合和纠正措施；</w:t>
            </w:r>
            <w:r>
              <w:rPr>
                <w:rFonts w:hint="eastAsia"/>
                <w:sz w:val="18"/>
                <w:szCs w:val="18"/>
              </w:rPr>
              <w:t>10.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持续改进</w:t>
            </w:r>
            <w:r>
              <w:rPr>
                <w:rFonts w:hint="eastAsia"/>
                <w:sz w:val="18"/>
                <w:szCs w:val="18"/>
              </w:rPr>
              <w:t>/OHSMS</w:t>
            </w:r>
            <w:r>
              <w:rPr>
                <w:rFonts w:hint="eastAsia"/>
                <w:sz w:val="18"/>
                <w:szCs w:val="18"/>
              </w:rPr>
              <w:t>运行控制财务支出证据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  <w:p w:rsidR="00C87EFC" w:rsidRDefault="001F0E13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87EFC">
        <w:trPr>
          <w:cantSplit/>
          <w:trHeight w:val="3457"/>
          <w:jc w:val="center"/>
        </w:trPr>
        <w:tc>
          <w:tcPr>
            <w:tcW w:w="652" w:type="dxa"/>
            <w:vMerge w:val="restart"/>
            <w:tcBorders>
              <w:left w:val="single" w:sz="8" w:space="0" w:color="auto"/>
            </w:tcBorders>
          </w:tcPr>
          <w:p w:rsidR="00C87EFC" w:rsidRDefault="00C87E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7EFC" w:rsidRDefault="00C87E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7EFC" w:rsidRDefault="00C87E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7EFC" w:rsidRDefault="00C87E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</w:p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C87EFC" w:rsidRDefault="001F0E13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C87EFC" w:rsidRDefault="00C87EFC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 w:rsidR="00C87EFC" w:rsidRDefault="001F0E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  <w:p w:rsidR="00C87EFC" w:rsidRDefault="001F0E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  <w:p w:rsidR="00C87EFC" w:rsidRDefault="001F0E13">
            <w:pPr>
              <w:pStyle w:val="a0"/>
            </w:pPr>
            <w:r>
              <w:rPr>
                <w:rFonts w:ascii="宋体" w:hAnsi="宋体" w:hint="eastAsia"/>
                <w:b/>
                <w:bCs/>
                <w:szCs w:val="21"/>
              </w:rPr>
              <w:t>项目现场（含路途）</w:t>
            </w:r>
          </w:p>
          <w:p w:rsidR="00C87EFC" w:rsidRDefault="001F0E13">
            <w:pPr>
              <w:numPr>
                <w:ilvl w:val="0"/>
                <w:numId w:val="1"/>
              </w:numPr>
              <w:snapToGrid w:val="0"/>
              <w:spacing w:line="320" w:lineRule="exact"/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午餐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</w:p>
          <w:p w:rsidR="00C87EFC" w:rsidRDefault="001F0E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13:00--17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工程部办公室</w:t>
            </w:r>
          </w:p>
        </w:tc>
        <w:tc>
          <w:tcPr>
            <w:tcW w:w="988" w:type="dxa"/>
          </w:tcPr>
          <w:p w:rsidR="00C87EFC" w:rsidRDefault="001F0E1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工程部</w:t>
            </w:r>
            <w:r>
              <w:rPr>
                <w:rFonts w:ascii="宋体" w:hAnsi="宋体" w:cs="新宋体" w:hint="eastAsia"/>
                <w:sz w:val="21"/>
                <w:szCs w:val="21"/>
              </w:rPr>
              <w:t>（</w:t>
            </w:r>
            <w:r>
              <w:rPr>
                <w:rFonts w:ascii="宋体" w:hAnsi="宋体" w:cs="新宋体" w:hint="eastAsia"/>
                <w:sz w:val="21"/>
                <w:szCs w:val="21"/>
              </w:rPr>
              <w:t>含服务项目现场</w:t>
            </w:r>
            <w:r>
              <w:rPr>
                <w:rFonts w:ascii="宋体" w:hAnsi="宋体" w:cs="新宋体" w:hint="eastAsia"/>
                <w:sz w:val="21"/>
                <w:szCs w:val="21"/>
              </w:rPr>
              <w:t>）</w:t>
            </w:r>
          </w:p>
        </w:tc>
        <w:tc>
          <w:tcPr>
            <w:tcW w:w="6025" w:type="dxa"/>
          </w:tcPr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EMS-2015;</w:t>
            </w:r>
            <w:r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</w:p>
          <w:p w:rsidR="00C87EFC" w:rsidRDefault="00C87EF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EMS-2015;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  <w:r>
              <w:rPr>
                <w:rFonts w:ascii="宋体" w:hAnsi="宋体" w:cs="新宋体" w:hint="eastAsia"/>
                <w:sz w:val="18"/>
                <w:szCs w:val="18"/>
              </w:rPr>
              <w:t xml:space="preserve"> </w:t>
            </w:r>
          </w:p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</w:t>
            </w:r>
            <w:r>
              <w:rPr>
                <w:rFonts w:ascii="宋体" w:hAnsi="宋体" w:cs="新宋体" w:hint="eastAsia"/>
                <w:sz w:val="18"/>
                <w:szCs w:val="18"/>
              </w:rPr>
              <w:t>/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  <w:p w:rsidR="00C87EFC" w:rsidRDefault="00C87EFC">
            <w:pPr>
              <w:rPr>
                <w:rFonts w:ascii="宋体" w:hAnsi="宋体" w:cs="新宋体"/>
                <w:sz w:val="18"/>
                <w:szCs w:val="18"/>
              </w:rPr>
            </w:pPr>
          </w:p>
          <w:p w:rsidR="00C87EFC" w:rsidRDefault="001F0E13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C87EFC" w:rsidRDefault="001F0E13">
            <w:pPr>
              <w:rPr>
                <w:sz w:val="21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  <w:p w:rsidR="00C87EFC" w:rsidRDefault="001F0E1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</w:tc>
      </w:tr>
      <w:tr w:rsidR="00C87EFC">
        <w:trPr>
          <w:cantSplit/>
          <w:trHeight w:val="574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  <w:vAlign w:val="center"/>
          </w:tcPr>
          <w:p w:rsidR="00C87EFC" w:rsidRDefault="00C87EF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 w:rsidR="00C87EFC" w:rsidRDefault="001F0E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13" w:type="dxa"/>
            <w:gridSpan w:val="2"/>
            <w:vAlign w:val="center"/>
          </w:tcPr>
          <w:p w:rsidR="00C87EFC" w:rsidRDefault="001F0E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  <w:p w:rsidR="00C87EFC" w:rsidRDefault="001F0E1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</w:tc>
      </w:tr>
      <w:tr w:rsidR="00C87EFC">
        <w:trPr>
          <w:cantSplit/>
          <w:trHeight w:val="444"/>
          <w:jc w:val="center"/>
        </w:trPr>
        <w:tc>
          <w:tcPr>
            <w:tcW w:w="652" w:type="dxa"/>
            <w:vMerge/>
            <w:tcBorders>
              <w:left w:val="single" w:sz="8" w:space="0" w:color="auto"/>
            </w:tcBorders>
          </w:tcPr>
          <w:p w:rsidR="00C87EFC" w:rsidRDefault="00C87EF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</w:tcPr>
          <w:p w:rsidR="00C87EFC" w:rsidRDefault="001F0E13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0-17: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013" w:type="dxa"/>
            <w:gridSpan w:val="2"/>
            <w:vAlign w:val="center"/>
          </w:tcPr>
          <w:p w:rsidR="00C87EFC" w:rsidRDefault="001F0E13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vAlign w:val="center"/>
          </w:tcPr>
          <w:p w:rsidR="00C87EFC" w:rsidRDefault="001F0E1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文平</w:t>
            </w:r>
          </w:p>
          <w:p w:rsidR="00C87EFC" w:rsidRDefault="001F0E13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李林</w:t>
            </w:r>
          </w:p>
        </w:tc>
      </w:tr>
    </w:tbl>
    <w:p w:rsidR="00C87EFC" w:rsidRDefault="001F0E1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87EFC" w:rsidRDefault="001F0E13">
      <w:pPr>
        <w:pStyle w:val="a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C87EFC" w:rsidRDefault="001F0E13">
      <w:pPr>
        <w:pStyle w:val="a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C87EFC" w:rsidRDefault="001F0E13">
      <w:pPr>
        <w:pStyle w:val="a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C87EFC" w:rsidRDefault="001F0E13">
      <w:pPr>
        <w:pStyle w:val="a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C87EFC" w:rsidRDefault="001F0E13">
      <w:pPr>
        <w:pStyle w:val="a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C87EFC" w:rsidRDefault="001F0E13">
      <w:pPr>
        <w:pStyle w:val="a9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C87EFC" w:rsidRDefault="00C87EFC"/>
    <w:p w:rsidR="00C87EFC" w:rsidRDefault="00C87EFC"/>
    <w:sectPr w:rsidR="00C87EFC" w:rsidSect="00C87EF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E13" w:rsidRDefault="001F0E13" w:rsidP="00C87EFC">
      <w:r>
        <w:separator/>
      </w:r>
    </w:p>
  </w:endnote>
  <w:endnote w:type="continuationSeparator" w:id="0">
    <w:p w:rsidR="001F0E13" w:rsidRDefault="001F0E13" w:rsidP="00C87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E13" w:rsidRDefault="001F0E13" w:rsidP="00C87EFC">
      <w:r>
        <w:separator/>
      </w:r>
    </w:p>
  </w:footnote>
  <w:footnote w:type="continuationSeparator" w:id="0">
    <w:p w:rsidR="001F0E13" w:rsidRDefault="001F0E13" w:rsidP="00C87E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EFC" w:rsidRDefault="00C87EFC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C87E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9264" stroked="f">
          <v:textbox>
            <w:txbxContent>
              <w:p w:rsidR="00C87EFC" w:rsidRDefault="001F0E1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F0E13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0E13">
      <w:rPr>
        <w:rStyle w:val="CharChar1"/>
        <w:rFonts w:hint="default"/>
      </w:rPr>
      <w:t>北京国标联合认证有限公司</w:t>
    </w:r>
    <w:r w:rsidR="001F0E13">
      <w:rPr>
        <w:rStyle w:val="CharChar1"/>
        <w:rFonts w:hint="default"/>
      </w:rPr>
      <w:tab/>
    </w:r>
    <w:r w:rsidR="001F0E13">
      <w:rPr>
        <w:rStyle w:val="CharChar1"/>
        <w:rFonts w:hint="default"/>
      </w:rPr>
      <w:tab/>
    </w:r>
  </w:p>
  <w:p w:rsidR="00C87EFC" w:rsidRDefault="001F0E13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70AE93"/>
    <w:multiLevelType w:val="singleLevel"/>
    <w:tmpl w:val="FE70AE93"/>
    <w:lvl w:ilvl="0">
      <w:start w:val="2"/>
      <w:numFmt w:val="decimal"/>
      <w:suff w:val="nothing"/>
      <w:lvlText w:val="%1）"/>
      <w:lvlJc w:val="left"/>
    </w:lvl>
  </w:abstractNum>
  <w:abstractNum w:abstractNumId="1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7EFC"/>
    <w:rsid w:val="001F0E13"/>
    <w:rsid w:val="00681A39"/>
    <w:rsid w:val="00C87EFC"/>
    <w:rsid w:val="00F0674B"/>
    <w:rsid w:val="010E331B"/>
    <w:rsid w:val="013D0BD5"/>
    <w:rsid w:val="01465D96"/>
    <w:rsid w:val="014A3C52"/>
    <w:rsid w:val="035936CF"/>
    <w:rsid w:val="0427660E"/>
    <w:rsid w:val="05E63161"/>
    <w:rsid w:val="0733233B"/>
    <w:rsid w:val="0A964868"/>
    <w:rsid w:val="0A9B460D"/>
    <w:rsid w:val="0ADF62A4"/>
    <w:rsid w:val="0B0B033E"/>
    <w:rsid w:val="0CE301BB"/>
    <w:rsid w:val="0DE034DB"/>
    <w:rsid w:val="0F1702D2"/>
    <w:rsid w:val="0FD900F9"/>
    <w:rsid w:val="107373FE"/>
    <w:rsid w:val="12152348"/>
    <w:rsid w:val="123D7AB9"/>
    <w:rsid w:val="13CC2B2B"/>
    <w:rsid w:val="154E2EDB"/>
    <w:rsid w:val="156D1C17"/>
    <w:rsid w:val="17B3646F"/>
    <w:rsid w:val="1AB560D1"/>
    <w:rsid w:val="1BC46C71"/>
    <w:rsid w:val="1BCD6FC4"/>
    <w:rsid w:val="1C483367"/>
    <w:rsid w:val="1DAE3C2D"/>
    <w:rsid w:val="1DDA2C7A"/>
    <w:rsid w:val="1E237455"/>
    <w:rsid w:val="1F07728B"/>
    <w:rsid w:val="1FA41B53"/>
    <w:rsid w:val="20E7076B"/>
    <w:rsid w:val="21183113"/>
    <w:rsid w:val="21575067"/>
    <w:rsid w:val="22E81AD1"/>
    <w:rsid w:val="22F7299A"/>
    <w:rsid w:val="233971D5"/>
    <w:rsid w:val="24B73BDE"/>
    <w:rsid w:val="25D60EB3"/>
    <w:rsid w:val="26380504"/>
    <w:rsid w:val="26CB5B39"/>
    <w:rsid w:val="278E4A47"/>
    <w:rsid w:val="27B20384"/>
    <w:rsid w:val="28E06546"/>
    <w:rsid w:val="2C7D1E83"/>
    <w:rsid w:val="2D001C77"/>
    <w:rsid w:val="2E34305E"/>
    <w:rsid w:val="30011237"/>
    <w:rsid w:val="30211665"/>
    <w:rsid w:val="30715D21"/>
    <w:rsid w:val="312074C5"/>
    <w:rsid w:val="31871EEB"/>
    <w:rsid w:val="327E60F8"/>
    <w:rsid w:val="341C60C1"/>
    <w:rsid w:val="34264C79"/>
    <w:rsid w:val="34893C3C"/>
    <w:rsid w:val="36396C08"/>
    <w:rsid w:val="36785E1A"/>
    <w:rsid w:val="39C90F88"/>
    <w:rsid w:val="3A290BDB"/>
    <w:rsid w:val="3A874369"/>
    <w:rsid w:val="3B2C56FC"/>
    <w:rsid w:val="3C931174"/>
    <w:rsid w:val="3D3405C2"/>
    <w:rsid w:val="3F860806"/>
    <w:rsid w:val="3F8A1B69"/>
    <w:rsid w:val="402D5B29"/>
    <w:rsid w:val="41DC6C5B"/>
    <w:rsid w:val="41E97E51"/>
    <w:rsid w:val="438C32CD"/>
    <w:rsid w:val="43CA1F3E"/>
    <w:rsid w:val="44194892"/>
    <w:rsid w:val="453A36DA"/>
    <w:rsid w:val="45A47F2A"/>
    <w:rsid w:val="45E5405B"/>
    <w:rsid w:val="46DA71BE"/>
    <w:rsid w:val="473D588E"/>
    <w:rsid w:val="47891ED0"/>
    <w:rsid w:val="48156548"/>
    <w:rsid w:val="48285523"/>
    <w:rsid w:val="48790221"/>
    <w:rsid w:val="4E764087"/>
    <w:rsid w:val="500C7873"/>
    <w:rsid w:val="509455E4"/>
    <w:rsid w:val="534F3EC2"/>
    <w:rsid w:val="54C64263"/>
    <w:rsid w:val="56711724"/>
    <w:rsid w:val="56B005DB"/>
    <w:rsid w:val="56BD3681"/>
    <w:rsid w:val="576716A5"/>
    <w:rsid w:val="57753550"/>
    <w:rsid w:val="57A262BB"/>
    <w:rsid w:val="58364B35"/>
    <w:rsid w:val="58581070"/>
    <w:rsid w:val="594400B1"/>
    <w:rsid w:val="5A1913FD"/>
    <w:rsid w:val="5A99506A"/>
    <w:rsid w:val="5BD40B28"/>
    <w:rsid w:val="5DAA7B7E"/>
    <w:rsid w:val="5E1304AB"/>
    <w:rsid w:val="5EEE5855"/>
    <w:rsid w:val="60220657"/>
    <w:rsid w:val="60866229"/>
    <w:rsid w:val="616E187D"/>
    <w:rsid w:val="61E21E96"/>
    <w:rsid w:val="622C6BE8"/>
    <w:rsid w:val="624751B2"/>
    <w:rsid w:val="636B1B3E"/>
    <w:rsid w:val="64316059"/>
    <w:rsid w:val="64E60E7A"/>
    <w:rsid w:val="64E7529C"/>
    <w:rsid w:val="65FD51C9"/>
    <w:rsid w:val="6612654D"/>
    <w:rsid w:val="695E3E30"/>
    <w:rsid w:val="697C4342"/>
    <w:rsid w:val="69CE5B25"/>
    <w:rsid w:val="6A072A10"/>
    <w:rsid w:val="6C6A0032"/>
    <w:rsid w:val="6F2A6FF4"/>
    <w:rsid w:val="6F326C82"/>
    <w:rsid w:val="707E7854"/>
    <w:rsid w:val="71B155CF"/>
    <w:rsid w:val="73540BCC"/>
    <w:rsid w:val="76312223"/>
    <w:rsid w:val="76810DFC"/>
    <w:rsid w:val="76B25472"/>
    <w:rsid w:val="776D33C9"/>
    <w:rsid w:val="7C2D2A3B"/>
    <w:rsid w:val="7D204EBE"/>
    <w:rsid w:val="7EAE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87EF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C87EFC"/>
    <w:rPr>
      <w:sz w:val="21"/>
    </w:rPr>
  </w:style>
  <w:style w:type="paragraph" w:styleId="a4">
    <w:name w:val="Balloon Text"/>
    <w:basedOn w:val="a"/>
    <w:link w:val="Char"/>
    <w:uiPriority w:val="99"/>
    <w:semiHidden/>
    <w:unhideWhenUsed/>
    <w:qFormat/>
    <w:rsid w:val="00C87EF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87E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87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87EF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表格文字"/>
    <w:basedOn w:val="a"/>
    <w:qFormat/>
    <w:rsid w:val="00C87EFC"/>
    <w:pPr>
      <w:spacing w:before="25" w:after="25"/>
    </w:pPr>
    <w:rPr>
      <w:bCs/>
      <w:spacing w:val="10"/>
    </w:rPr>
  </w:style>
  <w:style w:type="character" w:customStyle="1" w:styleId="Char1">
    <w:name w:val="页眉 Char"/>
    <w:basedOn w:val="a1"/>
    <w:link w:val="a6"/>
    <w:uiPriority w:val="99"/>
    <w:qFormat/>
    <w:rsid w:val="00C87EF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87EFC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C87EF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87EF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87E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87EF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538</Words>
  <Characters>3071</Characters>
  <Application>Microsoft Office Word</Application>
  <DocSecurity>0</DocSecurity>
  <Lines>25</Lines>
  <Paragraphs>7</Paragraphs>
  <ScaleCrop>false</ScaleCrop>
  <Company>微软中国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58</cp:revision>
  <dcterms:created xsi:type="dcterms:W3CDTF">2015-06-17T14:31:00Z</dcterms:created>
  <dcterms:modified xsi:type="dcterms:W3CDTF">2021-10-19T06:48:00Z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