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泊头市中金机械设备制造有限公司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Q：17.05.01;17.05.02;17.10.02;17.11.03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O：17.05.01;17.05.02;17.10.02;17.11.03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Q：17.05.01;17.05.02;17.10.02;17.11.03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O：17.05.01;17.05.02;17.10.02;17.11.03</w:t>
            </w:r>
            <w:bookmarkStart w:id="9" w:name="_GoBack"/>
            <w:bookmarkEnd w:id="9"/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工量具、铸铁件、铸钢件：模型处理—混砂—造型—熔炼—浇注—清砂—（热处理）—机加工—刷漆—成品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焊接件：钢板—焊接—刷漆—成品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机械加工：铸件—刨/铣/镗/车/钻孔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特殊过程：焊接过程、浇铸过程、热处理过程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控制方法：焊接参数、焊接工艺、浇铸温度、时间、热处理温度、时间、热处理工艺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编制了《危险源辨识和风险评价程序》，采用危险源级别判定标准，规定不可接受风险判定。</w:t>
            </w:r>
          </w:p>
          <w:p>
            <w:pPr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>本部门识别的各区域危险源有：触电、意外伤害、职业病、火灾、机械伤害等。不可接受风险识别有：火灾、意外伤害、触电</w:t>
            </w:r>
            <w:r>
              <w:rPr>
                <w:rFonts w:hint="eastAsia" w:eastAsia="宋体"/>
                <w:lang w:eastAsia="zh-CN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职业病、烫伤等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</w:rPr>
              <w:t>G</w:t>
            </w:r>
            <w:r>
              <w:rPr>
                <w:rFonts w:hint="eastAsia" w:eastAsia="宋体"/>
              </w:rPr>
              <w:t>B/T 22095-2008《铸铁平板》 GB/T 9439-2010《灰铸铁件》GB/T 1348-2009 《球墨铸铁件》 GB/T 37681-2019《大型铸钢件 通用技术规范》JJG 117-2005《中华人民共和国国家计量检定规程平板》GB/T 11351-1989《铸件重量公差》GB/T 1031-2009《 产品几何技术规范（GPS) 表面结构 轮廓法 表面粗糙度参数及其数值》GB/T 1182-2008《产品几何技术规范（GPS)几何公差 形状、方向、位置和跳动公差标注》GB/T 1184-1996《形状和位置公差 未注公差值》GB/T 1804-2000《一般公差 未注公差的线性和角度尺寸的公差》GB T 25376-2010《金属切削机床机械加工件通用技术条件》GB T 718-2005《铸造用生铁》GB 1412-1985《球墨铸铁用生铁》JJG 194-2007《方箱检定规程》JJG 117-2005《平板检定规程等及法律法规及客户要求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执行国家标准及法规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1FC137C"/>
    <w:rsid w:val="483E6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2021-10-04T08:12:48Z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