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河北</w:t>
            </w:r>
            <w:r>
              <w:rPr>
                <w:rFonts w:ascii="方正仿宋简体" w:eastAsia="方正仿宋简体"/>
                <w:b/>
              </w:rPr>
              <w:t>惠康餐饮管理有限公司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安小琪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部分储存食材用冷冻柜的温度显示器不能工作；也没有证据表明对冷冻柜的冷冻温度进行了监测。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07085" cy="389255"/>
                  <wp:effectExtent l="0" t="0" r="0" b="698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07085" cy="389255"/>
                  <wp:effectExtent l="0" t="0" r="0" b="6985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该企业已购买和检定了冷冻温度计，对冷冻柜和冷藏柜的温度进行了检测，检测值均满足设定值；进行了原因分析，组织有关人员进行了培训，不符合项可以关闭。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07085" cy="389255"/>
                  <wp:effectExtent l="0" t="0" r="0" b="6985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2021-11-30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91B70"/>
    <w:rsid w:val="119F52C2"/>
    <w:rsid w:val="1C87536A"/>
    <w:rsid w:val="3AF832DB"/>
    <w:rsid w:val="54D06C94"/>
    <w:rsid w:val="63704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2021-11-30T09:18:51Z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