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rFonts w:hint="eastAsia"/>
                <w:sz w:val="21"/>
                <w:szCs w:val="21"/>
                <w:lang w:val="en-US" w:eastAsia="zh-CN"/>
              </w:rPr>
              <w:t>河北</w:t>
            </w:r>
            <w:r>
              <w:rPr>
                <w:sz w:val="21"/>
                <w:szCs w:val="21"/>
              </w:rPr>
              <w:t>惠康餐饮管理有限公司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保定市竞秀区新市场街道办事处天鹅西路538号门脸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河北省保定市七一中路103号（学生三食堂）</w:t>
            </w:r>
            <w:bookmarkEnd w:id="1"/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承包中央司法警察学院食堂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）</w:t>
            </w:r>
            <w:bookmarkStart w:id="30" w:name="_GoBack"/>
            <w:bookmarkEnd w:id="3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安小琪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手机"/>
            <w:r>
              <w:rPr>
                <w:sz w:val="21"/>
                <w:szCs w:val="21"/>
              </w:rPr>
              <w:t>15103121650</w:t>
            </w:r>
            <w:bookmarkEnd w:id="2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邮箱"/>
            <w:r>
              <w:rPr>
                <w:sz w:val="21"/>
                <w:szCs w:val="21"/>
              </w:rPr>
              <w:t>1140192385@qq.com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cs="Times New Roman" w:asciiTheme="minorEastAsia" w:hAnsiTheme="minorEastAsia" w:eastAsiaTheme="minorEastAsia"/>
                <w:sz w:val="20"/>
              </w:rPr>
            </w:pPr>
            <w:bookmarkStart w:id="4" w:name="最高管理者"/>
            <w:bookmarkEnd w:id="4"/>
            <w:r>
              <w:rPr>
                <w:rFonts w:hint="eastAsia" w:cs="Times New Roman" w:asciiTheme="minorEastAsia" w:hAnsiTheme="minorEastAsia" w:eastAsiaTheme="minorEastAsia"/>
                <w:sz w:val="20"/>
                <w:lang w:val="en-US" w:eastAsia="zh-CN"/>
              </w:rPr>
              <w:t>胡红亮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5" w:name="管代电话"/>
            <w:bookmarkEnd w:id="5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0867-2021-H</w:t>
            </w:r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7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7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8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8"/>
            <w:r>
              <w:rPr>
                <w:spacing w:val="-2"/>
                <w:sz w:val="20"/>
              </w:rPr>
              <w:t>EMS</w:t>
            </w:r>
            <w:bookmarkStart w:id="9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0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1" w:name="H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2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4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5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□现场审核   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6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19" w:name="审核范围"/>
            <w:r>
              <w:rPr>
                <w:sz w:val="20"/>
              </w:rPr>
              <w:t>位于河北省保定市七一中路103号（学生三食堂）</w:t>
            </w:r>
            <w:r>
              <w:rPr>
                <w:rFonts w:hint="eastAsia"/>
                <w:sz w:val="20"/>
                <w:lang w:val="en-US" w:eastAsia="zh-CN"/>
              </w:rPr>
              <w:t>河北</w:t>
            </w:r>
            <w:r>
              <w:rPr>
                <w:sz w:val="20"/>
              </w:rPr>
              <w:t>惠康餐饮管理有限公司资质范围内的单位食堂热食类食品制售</w:t>
            </w:r>
            <w:bookmarkEnd w:id="19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0" w:name="专业代码"/>
            <w:r>
              <w:rPr>
                <w:sz w:val="20"/>
              </w:rPr>
              <w:t>E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1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2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3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4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7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8" w:name="审核日期"/>
            <w:r>
              <w:rPr>
                <w:rFonts w:hint="eastAsia"/>
                <w:b/>
                <w:sz w:val="20"/>
              </w:rPr>
              <w:t>2021年11月26日 上午至2021年11月27日 上午</w:t>
            </w:r>
            <w:bookmarkEnd w:id="28"/>
            <w:r>
              <w:rPr>
                <w:rFonts w:hint="eastAsia"/>
                <w:b/>
                <w:sz w:val="20"/>
              </w:rPr>
              <w:t>(共</w:t>
            </w:r>
            <w:bookmarkStart w:id="29" w:name="审核天数"/>
            <w:r>
              <w:rPr>
                <w:rFonts w:hint="eastAsia"/>
                <w:b/>
                <w:sz w:val="20"/>
              </w:rPr>
              <w:t>1.5</w:t>
            </w:r>
            <w:bookmarkEnd w:id="29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2021-N1HACCp-3011923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13501146660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任学礼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2021-N1HACCP-1232990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15708225160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13501146660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2021-11-21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202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-1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-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1213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548DD4" w:themeColor="text2" w:themeTint="99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548DD4" w:themeColor="text2" w:themeTint="99"/>
                <w:sz w:val="18"/>
                <w:szCs w:val="18"/>
              </w:rPr>
              <w:t>第一天</w:t>
            </w:r>
          </w:p>
        </w:tc>
        <w:tc>
          <w:tcPr>
            <w:tcW w:w="1370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038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46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</w:tcPr>
          <w:p>
            <w:pPr>
              <w:snapToGrid w:val="0"/>
              <w:spacing w:line="320" w:lineRule="exact"/>
              <w:ind w:firstLine="181" w:firstLineChars="100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EAF1DD" w:themeFill="accent3" w:themeFillTint="33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08:30</w:t>
            </w:r>
          </w:p>
        </w:tc>
        <w:tc>
          <w:tcPr>
            <w:tcW w:w="1370" w:type="dxa"/>
            <w:shd w:val="clear" w:color="auto" w:fill="EAF1DD" w:themeFill="accent3" w:themeFillTint="33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038" w:type="dxa"/>
            <w:shd w:val="clear" w:color="auto" w:fill="EAF1DD" w:themeFill="accent3" w:themeFillTint="33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首次会议</w:t>
            </w:r>
          </w:p>
        </w:tc>
        <w:tc>
          <w:tcPr>
            <w:tcW w:w="2469" w:type="dxa"/>
            <w:shd w:val="clear" w:color="auto" w:fill="EAF1DD" w:themeFill="accent3" w:themeFillTint="33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A（现场）/B(远程）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EAF1DD" w:themeFill="accent3" w:themeFillTint="33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09:00-1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：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70" w:type="dxa"/>
            <w:shd w:val="clear" w:color="auto" w:fill="EAF1DD" w:themeFill="accent3" w:themeFillTint="33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领导层</w:t>
            </w:r>
          </w:p>
        </w:tc>
        <w:tc>
          <w:tcPr>
            <w:tcW w:w="3038" w:type="dxa"/>
            <w:shd w:val="clear" w:color="auto" w:fill="EAF1DD" w:themeFill="accent3" w:themeFillTint="33"/>
          </w:tcPr>
          <w:p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要求、认证范围、方针和目标，资源管理、领导作用、岗位和职责、目标管理、内外部沟通、持续改进的机制、重大投诉处理、重大体系事故和变更管理、应急准备和响应，顾客反馈、产品召回、行业抽查情况、持续改进</w:t>
            </w:r>
          </w:p>
        </w:tc>
        <w:tc>
          <w:tcPr>
            <w:tcW w:w="2469" w:type="dxa"/>
            <w:shd w:val="clear" w:color="auto" w:fill="EAF1DD" w:themeFill="accent3" w:themeFillTint="33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hint="eastAsia" w:ascii="宋体" w:hAnsi="宋体"/>
                <w:spacing w:val="-20"/>
                <w:sz w:val="18"/>
                <w:szCs w:val="18"/>
              </w:rPr>
              <w:t>H:</w:t>
            </w:r>
          </w:p>
          <w:p>
            <w:pPr>
              <w:snapToGrid w:val="0"/>
              <w:spacing w:line="28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4.1/4.2.1/4.2.2/5.1/5.2/5.3/5.5及GB14881相关条款内容及1.0要求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EAF1DD" w:themeFill="accent3" w:themeFillTint="33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A/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B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EAF1DD" w:themeFill="accent3" w:themeFillTint="33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10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0-12：30</w:t>
            </w:r>
          </w:p>
        </w:tc>
        <w:tc>
          <w:tcPr>
            <w:tcW w:w="1370" w:type="dxa"/>
            <w:shd w:val="clear" w:color="auto" w:fill="EAF1DD" w:themeFill="accent3" w:themeFillTint="33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10"/>
                <w:sz w:val="18"/>
                <w:szCs w:val="18"/>
              </w:rPr>
              <w:t>食品安全小组组长/HACCP</w:t>
            </w:r>
            <w:r>
              <w:rPr>
                <w:rFonts w:hint="eastAsia" w:ascii="宋体" w:hAnsi="宋体"/>
                <w:b/>
                <w:bCs/>
                <w:spacing w:val="40"/>
                <w:kern w:val="10"/>
                <w:sz w:val="18"/>
                <w:szCs w:val="18"/>
              </w:rPr>
              <w:t>小组长</w:t>
            </w:r>
          </w:p>
        </w:tc>
        <w:tc>
          <w:tcPr>
            <w:tcW w:w="3038" w:type="dxa"/>
            <w:shd w:val="clear" w:color="auto" w:fill="EAF1DD" w:themeFill="accent3" w:themeFillTint="33"/>
          </w:tcPr>
          <w:p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食品安全/HACCP小组、前提方案、实施危害分析的预备步骤、危害分析</w:t>
            </w:r>
            <w:r>
              <w:rPr>
                <w:rFonts w:hint="eastAsia" w:ascii="宋体" w:hAnsi="宋体" w:cs="宋体"/>
                <w:sz w:val="18"/>
                <w:szCs w:val="18"/>
              </w:rPr>
              <w:t>和制定控制措施</w:t>
            </w:r>
            <w:r>
              <w:rPr>
                <w:rFonts w:hint="eastAsia" w:ascii="宋体" w:hAnsi="宋体"/>
                <w:sz w:val="18"/>
                <w:szCs w:val="18"/>
              </w:rPr>
              <w:t>、操作性前提方案(PRPs)的建立、HACCP计划的建立、预备信息的更新、规定前提方案和HACCP计划文件的更新、验证策划、标识和可追溯性系统/计划、控制措施组合的确认、食品安全管理体系的验证、改进、产品召回、应急预案、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H</w:t>
            </w:r>
            <w:r>
              <w:rPr>
                <w:rFonts w:ascii="宋体" w:hAnsi="宋体" w:cs="宋体"/>
                <w:sz w:val="18"/>
                <w:szCs w:val="18"/>
              </w:rPr>
              <w:t>ACCP</w:t>
            </w:r>
            <w:r>
              <w:rPr>
                <w:rFonts w:hint="eastAsia" w:ascii="宋体" w:hAnsi="宋体" w:cs="宋体"/>
                <w:sz w:val="18"/>
                <w:szCs w:val="18"/>
              </w:rPr>
              <w:t>记录的保持、食品欺诈和过敏原控制</w:t>
            </w:r>
          </w:p>
        </w:tc>
        <w:tc>
          <w:tcPr>
            <w:tcW w:w="2469" w:type="dxa"/>
            <w:shd w:val="clear" w:color="auto" w:fill="EAF1DD" w:themeFill="accent3" w:themeFillTint="33"/>
          </w:tcPr>
          <w:p>
            <w:pPr>
              <w:snapToGrid w:val="0"/>
              <w:spacing w:line="28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H:6.1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bCs/>
                <w:sz w:val="18"/>
                <w:szCs w:val="18"/>
              </w:rPr>
              <w:t xml:space="preserve">6.3/6.4/6.7/6.8/ </w:t>
            </w:r>
            <w:r>
              <w:rPr>
                <w:sz w:val="18"/>
                <w:szCs w:val="18"/>
              </w:rPr>
              <w:t>7.1-7.9</w:t>
            </w:r>
            <w:r>
              <w:rPr>
                <w:bCs/>
                <w:sz w:val="18"/>
                <w:szCs w:val="18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GB1488</w:t>
            </w:r>
            <w:r>
              <w:rPr>
                <w:bCs/>
                <w:sz w:val="21"/>
                <w:szCs w:val="21"/>
              </w:rPr>
              <w:t>1:</w:t>
            </w:r>
            <w:r>
              <w:rPr>
                <w:sz w:val="21"/>
                <w:szCs w:val="21"/>
              </w:rPr>
              <w:t>3/4/5/6/8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9/11/13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Arial"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HACCP1.0</w:t>
            </w:r>
            <w:r>
              <w:rPr>
                <w:rFonts w:hint="eastAsia"/>
                <w:bCs/>
                <w:sz w:val="18"/>
                <w:szCs w:val="18"/>
              </w:rPr>
              <w:t>要求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EAF1DD" w:themeFill="accent3" w:themeFillTint="33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A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EAF1DD" w:themeFill="accent3" w:themeFillTint="33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10:30-12:30</w:t>
            </w:r>
          </w:p>
        </w:tc>
        <w:tc>
          <w:tcPr>
            <w:tcW w:w="1370" w:type="dxa"/>
            <w:shd w:val="clear" w:color="auto" w:fill="EAF1DD" w:themeFill="accent3" w:themeFillTint="33"/>
            <w:vAlign w:val="top"/>
          </w:tcPr>
          <w:p>
            <w:pPr>
              <w:spacing w:after="40"/>
              <w:rPr>
                <w:rFonts w:hint="eastAsia" w:ascii="宋体" w:hAnsi="宋体" w:eastAsia="宋体" w:cs="Times New Roman"/>
                <w:b/>
                <w:bCs/>
                <w:spacing w:val="40"/>
                <w:kern w:val="1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综合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3038" w:type="dxa"/>
            <w:shd w:val="clear" w:color="auto" w:fill="EAF1DD" w:themeFill="accent3" w:themeFillTint="33"/>
            <w:vAlign w:val="top"/>
          </w:tcPr>
          <w:p>
            <w:pPr>
              <w:spacing w:after="40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Arial"/>
                <w:bCs/>
                <w:sz w:val="18"/>
                <w:szCs w:val="18"/>
              </w:rPr>
              <w:t>岗位职责/权限、文件和记录管理、</w:t>
            </w:r>
            <w:r>
              <w:rPr>
                <w:rFonts w:hint="eastAsia" w:ascii="宋体" w:hAnsi="宋体"/>
                <w:sz w:val="18"/>
                <w:szCs w:val="18"/>
              </w:rPr>
              <w:t>目标管理、内外部沟通、</w:t>
            </w:r>
            <w:r>
              <w:rPr>
                <w:rFonts w:hint="eastAsia" w:cs="Arial"/>
                <w:bCs/>
                <w:sz w:val="18"/>
                <w:szCs w:val="18"/>
              </w:rPr>
              <w:t>人员健康管理、持证上岗人员、人员招聘、员工培训及有效性评价、</w:t>
            </w:r>
            <w:r>
              <w:rPr>
                <w:rFonts w:hint="eastAsia" w:ascii="宋体" w:hAnsi="宋体"/>
                <w:sz w:val="18"/>
                <w:szCs w:val="18"/>
              </w:rPr>
              <w:t>工作环境、内部审核</w:t>
            </w:r>
            <w:r>
              <w:rPr>
                <w:rFonts w:hint="eastAsia" w:cs="Arial"/>
                <w:bCs/>
                <w:sz w:val="18"/>
                <w:szCs w:val="18"/>
              </w:rPr>
              <w:t>、内部审核、管理评审</w:t>
            </w:r>
          </w:p>
        </w:tc>
        <w:tc>
          <w:tcPr>
            <w:tcW w:w="2469" w:type="dxa"/>
            <w:shd w:val="clear" w:color="auto" w:fill="EAF1DD" w:themeFill="accent3" w:themeFillTint="33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H:4.2.3/4.2.4/5.2/5.3/5.4/5.5/6.2/</w:t>
            </w:r>
            <w:r>
              <w:rPr>
                <w:rFonts w:hint="eastAsia"/>
                <w:bCs/>
                <w:sz w:val="18"/>
                <w:szCs w:val="18"/>
              </w:rPr>
              <w:t>7.9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bCs/>
                <w:sz w:val="18"/>
                <w:szCs w:val="18"/>
              </w:rPr>
              <w:t>GB14881:6.3/12/13/14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B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EAF1DD" w:themeFill="accent3" w:themeFillTint="33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548DD4" w:themeColor="text2" w:themeTint="99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548DD4" w:themeColor="text2" w:themeTint="99"/>
                <w:sz w:val="18"/>
                <w:szCs w:val="18"/>
              </w:rPr>
              <w:t>12：30</w:t>
            </w:r>
          </w:p>
        </w:tc>
        <w:tc>
          <w:tcPr>
            <w:tcW w:w="1370" w:type="dxa"/>
            <w:shd w:val="clear" w:color="auto" w:fill="EAF1DD" w:themeFill="accent3" w:themeFillTint="33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548DD4" w:themeColor="text2" w:themeTint="99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548DD4" w:themeColor="text2" w:themeTint="99"/>
                <w:sz w:val="18"/>
                <w:szCs w:val="18"/>
              </w:rPr>
              <w:t>午餐</w:t>
            </w:r>
          </w:p>
        </w:tc>
        <w:tc>
          <w:tcPr>
            <w:tcW w:w="3038" w:type="dxa"/>
            <w:shd w:val="clear" w:color="auto" w:fill="EAF1DD" w:themeFill="accent3" w:themeFillTint="33"/>
          </w:tcPr>
          <w:p>
            <w:pPr>
              <w:spacing w:line="300" w:lineRule="exact"/>
              <w:rPr>
                <w:rFonts w:ascii="宋体" w:hAnsi="宋体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2469" w:type="dxa"/>
            <w:shd w:val="clear" w:color="auto" w:fill="EAF1DD" w:themeFill="accent3" w:themeFillTint="33"/>
          </w:tcPr>
          <w:p>
            <w:pPr>
              <w:autoSpaceDE w:val="0"/>
              <w:autoSpaceDN w:val="0"/>
              <w:adjustRightInd w:val="0"/>
              <w:jc w:val="left"/>
              <w:rPr>
                <w:rFonts w:cs="Arial"/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EAF1DD" w:themeFill="accent3" w:themeFillTint="33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548DD4" w:themeColor="text2" w:themeTint="99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548DD4" w:themeColor="text2" w:themeTint="99"/>
                <w:sz w:val="18"/>
                <w:szCs w:val="18"/>
              </w:rPr>
              <w:t>A</w:t>
            </w:r>
            <w:r>
              <w:rPr>
                <w:rFonts w:ascii="宋体" w:hAnsi="宋体"/>
                <w:b/>
                <w:bCs/>
                <w:color w:val="548DD4" w:themeColor="text2" w:themeTint="99"/>
                <w:sz w:val="18"/>
                <w:szCs w:val="18"/>
              </w:rPr>
              <w:t>/B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EAF1DD" w:themeFill="accent3" w:themeFillTint="33"/>
          </w:tcPr>
          <w:p>
            <w:pPr>
              <w:snapToGrid w:val="0"/>
              <w:spacing w:line="320" w:lineRule="exact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13：00-1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：00</w:t>
            </w:r>
          </w:p>
        </w:tc>
        <w:tc>
          <w:tcPr>
            <w:tcW w:w="1370" w:type="dxa"/>
            <w:shd w:val="clear" w:color="auto" w:fill="EAF1DD" w:themeFill="accent3" w:themeFillTint="33"/>
          </w:tcPr>
          <w:p>
            <w:pPr>
              <w:spacing w:line="300" w:lineRule="exact"/>
              <w:rPr>
                <w:rFonts w:hint="eastAsia" w:eastAsia="宋体"/>
                <w:b/>
                <w:bCs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管理部及现场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库房、后厨、大堂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3038" w:type="dxa"/>
            <w:shd w:val="clear" w:color="auto" w:fill="EAF1DD" w:themeFill="accent3" w:themeFillTint="33"/>
          </w:tcPr>
          <w:p>
            <w:pPr>
              <w:spacing w:line="300" w:lineRule="exact"/>
              <w:rPr>
                <w:rFonts w:ascii="宋体" w:hAnsi="宋体" w:cs="Arial"/>
                <w:b/>
                <w:sz w:val="18"/>
                <w:szCs w:val="18"/>
                <w:u w:val="single"/>
              </w:rPr>
            </w:pPr>
            <w:r>
              <w:rPr>
                <w:rFonts w:hint="eastAsia" w:ascii="宋体" w:hAnsi="宋体" w:cs="Arial"/>
                <w:b/>
                <w:sz w:val="18"/>
                <w:szCs w:val="18"/>
                <w:u w:val="single"/>
              </w:rPr>
              <w:t>基础设施、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u w:val="single"/>
              </w:rPr>
              <w:t>工作环境</w:t>
            </w:r>
            <w:r>
              <w:rPr>
                <w:rFonts w:hint="eastAsia"/>
                <w:b/>
                <w:bCs/>
                <w:sz w:val="18"/>
                <w:szCs w:val="18"/>
                <w:u w:val="single"/>
              </w:rPr>
              <w:t>控制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、关键控制点的监视系统</w:t>
            </w:r>
            <w:r>
              <w:rPr>
                <w:rFonts w:hint="eastAsia" w:cs="Arial"/>
                <w:bCs/>
                <w:sz w:val="18"/>
                <w:szCs w:val="18"/>
              </w:rPr>
              <w:t>及纠偏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、可追溯性系统、潜在不符合品控制、</w:t>
            </w:r>
            <w:r>
              <w:rPr>
                <w:rFonts w:hint="eastAsia" w:cs="Arial"/>
                <w:bCs/>
                <w:sz w:val="18"/>
                <w:szCs w:val="18"/>
              </w:rPr>
              <w:t>GMP,SSOP的现场情况、原材料和包装材料保障计划的现场情况、产品防护计划、维护和保障计划和控制、食品欺诈和过敏原控制、</w:t>
            </w:r>
            <w:r>
              <w:rPr>
                <w:rFonts w:hint="eastAsia" w:ascii="宋体" w:hAnsi="宋体" w:cs="Arial"/>
                <w:b/>
                <w:sz w:val="18"/>
                <w:szCs w:val="18"/>
                <w:u w:val="single"/>
              </w:rPr>
              <w:t>过程和产品的监视和测量、撤回/召回、应急准备和响应、食品添加剂管理</w:t>
            </w:r>
          </w:p>
          <w:p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69" w:type="dxa"/>
            <w:shd w:val="clear" w:color="auto" w:fill="EAF1DD" w:themeFill="accent3" w:themeFillTint="33"/>
          </w:tcPr>
          <w:p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H:6.3/6.4/6.7.1/7.6/7.7/7.8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GB14881: 3/4/5/6/7/8/9/10/11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HACCP1.0</w:t>
            </w:r>
            <w:r>
              <w:rPr>
                <w:rFonts w:hint="eastAsia"/>
                <w:bCs/>
                <w:sz w:val="18"/>
                <w:szCs w:val="18"/>
              </w:rPr>
              <w:t>要求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EAF1DD" w:themeFill="accent3" w:themeFillTint="33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A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EAF1DD" w:themeFill="accent3" w:themeFillTint="33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10:30-12:30</w:t>
            </w:r>
          </w:p>
        </w:tc>
        <w:tc>
          <w:tcPr>
            <w:tcW w:w="1370" w:type="dxa"/>
            <w:shd w:val="clear" w:color="auto" w:fill="EAF1DD" w:themeFill="accent3" w:themeFillTint="33"/>
            <w:vAlign w:val="top"/>
          </w:tcPr>
          <w:p>
            <w:pPr>
              <w:spacing w:after="40"/>
              <w:rPr>
                <w:rFonts w:hint="eastAsia" w:ascii="宋体" w:hAnsi="宋体" w:eastAsia="宋体" w:cs="Times New Roman"/>
                <w:b/>
                <w:bCs/>
                <w:spacing w:val="40"/>
                <w:kern w:val="1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综合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办公</w:t>
            </w:r>
            <w:r>
              <w:rPr>
                <w:rFonts w:hint="eastAsia" w:cs="Times New Roman"/>
                <w:b/>
                <w:bCs/>
                <w:sz w:val="18"/>
                <w:szCs w:val="18"/>
                <w:lang w:val="en-US" w:eastAsia="zh-CN"/>
              </w:rPr>
              <w:t>——继续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室</w:t>
            </w:r>
          </w:p>
        </w:tc>
        <w:tc>
          <w:tcPr>
            <w:tcW w:w="3038" w:type="dxa"/>
            <w:shd w:val="clear" w:color="auto" w:fill="EAF1DD" w:themeFill="accent3" w:themeFillTint="33"/>
            <w:vAlign w:val="top"/>
          </w:tcPr>
          <w:p>
            <w:pPr>
              <w:spacing w:after="40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Arial"/>
                <w:bCs/>
                <w:sz w:val="18"/>
                <w:szCs w:val="18"/>
              </w:rPr>
              <w:t>岗位职责/权限、文件和记录管理、</w:t>
            </w:r>
            <w:r>
              <w:rPr>
                <w:rFonts w:hint="eastAsia" w:ascii="宋体" w:hAnsi="宋体"/>
                <w:sz w:val="18"/>
                <w:szCs w:val="18"/>
              </w:rPr>
              <w:t>目标管理、内外部沟通、</w:t>
            </w:r>
            <w:r>
              <w:rPr>
                <w:rFonts w:hint="eastAsia" w:cs="Arial"/>
                <w:bCs/>
                <w:sz w:val="18"/>
                <w:szCs w:val="18"/>
              </w:rPr>
              <w:t>人员健康管理、持证上岗人员、人员招聘、员工培训及有效性评价、</w:t>
            </w:r>
            <w:r>
              <w:rPr>
                <w:rFonts w:hint="eastAsia" w:ascii="宋体" w:hAnsi="宋体"/>
                <w:sz w:val="18"/>
                <w:szCs w:val="18"/>
              </w:rPr>
              <w:t>工作环境、内部审核</w:t>
            </w:r>
            <w:r>
              <w:rPr>
                <w:rFonts w:hint="eastAsia" w:cs="Arial"/>
                <w:bCs/>
                <w:sz w:val="18"/>
                <w:szCs w:val="18"/>
              </w:rPr>
              <w:t>、内部审核、管理评审</w:t>
            </w:r>
          </w:p>
        </w:tc>
        <w:tc>
          <w:tcPr>
            <w:tcW w:w="2469" w:type="dxa"/>
            <w:shd w:val="clear" w:color="auto" w:fill="EAF1DD" w:themeFill="accent3" w:themeFillTint="33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H:4.2.3/4.2.4/5.2/5.3/5.4/6.2/</w:t>
            </w:r>
            <w:r>
              <w:rPr>
                <w:rFonts w:hint="eastAsia"/>
                <w:bCs/>
                <w:sz w:val="18"/>
                <w:szCs w:val="18"/>
              </w:rPr>
              <w:t>7.9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bCs/>
                <w:sz w:val="18"/>
                <w:szCs w:val="18"/>
              </w:rPr>
              <w:t>GB14881:6.3/12/13/14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B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EAF1DD" w:themeFill="accent3" w:themeFillTint="33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：00-1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70" w:type="dxa"/>
            <w:shd w:val="clear" w:color="auto" w:fill="EAF1DD" w:themeFill="accent3" w:themeFillTint="33"/>
          </w:tcPr>
          <w:p>
            <w:pPr>
              <w:spacing w:line="30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38" w:type="dxa"/>
            <w:shd w:val="clear" w:color="auto" w:fill="EAF1DD" w:themeFill="accent3" w:themeFillTint="33"/>
          </w:tcPr>
          <w:p>
            <w:pPr>
              <w:spacing w:line="300" w:lineRule="exact"/>
              <w:rPr>
                <w:rFonts w:ascii="宋体" w:hAnsi="宋体" w:cs="Arial"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审核组整理资料和管代沟通</w:t>
            </w:r>
          </w:p>
        </w:tc>
        <w:tc>
          <w:tcPr>
            <w:tcW w:w="2469" w:type="dxa"/>
            <w:shd w:val="clear" w:color="auto" w:fill="EAF1DD" w:themeFill="accent3" w:themeFillTint="33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EAF1DD" w:themeFill="accent3" w:themeFillTint="33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/B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EAF1DD" w:themeFill="accent3" w:themeFillTint="33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7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:30</w:t>
            </w:r>
          </w:p>
        </w:tc>
        <w:tc>
          <w:tcPr>
            <w:tcW w:w="1370" w:type="dxa"/>
            <w:shd w:val="clear" w:color="auto" w:fill="EAF1DD" w:themeFill="accent3" w:themeFillTint="33"/>
          </w:tcPr>
          <w:p>
            <w:pPr>
              <w:spacing w:line="30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38" w:type="dxa"/>
            <w:shd w:val="clear" w:color="auto" w:fill="EAF1DD" w:themeFill="accent3" w:themeFillTint="33"/>
          </w:tcPr>
          <w:p>
            <w:pPr>
              <w:spacing w:line="300" w:lineRule="exact"/>
              <w:rPr>
                <w:rFonts w:ascii="宋体" w:hAnsi="宋体" w:cs="Arial"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第一天审核结（加班1小时）</w:t>
            </w:r>
          </w:p>
        </w:tc>
        <w:tc>
          <w:tcPr>
            <w:tcW w:w="2469" w:type="dxa"/>
            <w:shd w:val="clear" w:color="auto" w:fill="EAF1DD" w:themeFill="accent3" w:themeFillTint="33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EAF1DD" w:themeFill="accent3" w:themeFillTint="33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restart"/>
            <w:tcBorders>
              <w:left w:val="single" w:color="auto" w:sz="8" w:space="0"/>
              <w:bottom w:val="nil"/>
            </w:tcBorders>
            <w:shd w:val="clear" w:color="auto" w:fill="EBF1DE" w:themeFill="accent3" w:themeFillTint="32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20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21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-1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-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213" w:type="dxa"/>
            <w:shd w:val="clear" w:color="auto" w:fill="EBF1DE" w:themeFill="accent3" w:themeFillTint="32"/>
          </w:tcPr>
          <w:p>
            <w:pPr>
              <w:snapToGrid w:val="0"/>
              <w:spacing w:line="320" w:lineRule="exact"/>
              <w:rPr>
                <w:b/>
                <w:bCs/>
                <w:color w:val="548DD4" w:themeColor="text2" w:themeTint="99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548DD4" w:themeColor="text2" w:themeTint="99"/>
                <w:sz w:val="18"/>
                <w:szCs w:val="18"/>
              </w:rPr>
              <w:t>第二天</w:t>
            </w:r>
          </w:p>
        </w:tc>
        <w:tc>
          <w:tcPr>
            <w:tcW w:w="1370" w:type="dxa"/>
            <w:shd w:val="clear" w:color="auto" w:fill="EBF1DE" w:themeFill="accent3" w:themeFillTint="32"/>
          </w:tcPr>
          <w:p>
            <w:pPr>
              <w:spacing w:after="40"/>
              <w:rPr>
                <w:rFonts w:ascii="宋体" w:hAnsi="宋体"/>
                <w:b/>
                <w:bCs/>
                <w:spacing w:val="40"/>
                <w:kern w:val="10"/>
                <w:sz w:val="18"/>
                <w:szCs w:val="18"/>
              </w:rPr>
            </w:pPr>
          </w:p>
        </w:tc>
        <w:tc>
          <w:tcPr>
            <w:tcW w:w="3038" w:type="dxa"/>
            <w:shd w:val="clear" w:color="auto" w:fill="EBF1DE" w:themeFill="accent3" w:themeFillTint="32"/>
          </w:tcPr>
          <w:p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469" w:type="dxa"/>
            <w:shd w:val="clear" w:color="auto" w:fill="EBF1DE" w:themeFill="accent3" w:themeFillTint="32"/>
          </w:tcPr>
          <w:p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EBF1DE" w:themeFill="accent3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</w:trPr>
        <w:tc>
          <w:tcPr>
            <w:tcW w:w="979" w:type="dxa"/>
            <w:vMerge w:val="continue"/>
            <w:tcBorders>
              <w:left w:val="single" w:color="auto" w:sz="8" w:space="0"/>
              <w:bottom w:val="nil"/>
            </w:tcBorders>
            <w:shd w:val="clear" w:color="auto" w:fill="EBF1DE" w:themeFill="accent3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EBF1DE" w:themeFill="accent3" w:themeFillTint="32"/>
          </w:tcPr>
          <w:p>
            <w:pPr>
              <w:snapToGrid w:val="0"/>
              <w:spacing w:line="320" w:lineRule="exac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8：25</w:t>
            </w:r>
          </w:p>
        </w:tc>
        <w:tc>
          <w:tcPr>
            <w:tcW w:w="1370" w:type="dxa"/>
            <w:shd w:val="clear" w:color="auto" w:fill="EBF1DE" w:themeFill="accent3" w:themeFillTint="32"/>
          </w:tcPr>
          <w:p>
            <w:pPr>
              <w:spacing w:after="40"/>
              <w:rPr>
                <w:rFonts w:ascii="宋体" w:hAnsi="宋体"/>
                <w:b/>
                <w:bCs/>
                <w:spacing w:val="40"/>
                <w:kern w:val="10"/>
                <w:sz w:val="18"/>
                <w:szCs w:val="18"/>
              </w:rPr>
            </w:pPr>
          </w:p>
        </w:tc>
        <w:tc>
          <w:tcPr>
            <w:tcW w:w="3038" w:type="dxa"/>
            <w:shd w:val="clear" w:color="auto" w:fill="EBF1DE" w:themeFill="accent3" w:themeFillTint="32"/>
          </w:tcPr>
          <w:p>
            <w:pPr>
              <w:spacing w:after="40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到达</w:t>
            </w:r>
          </w:p>
        </w:tc>
        <w:tc>
          <w:tcPr>
            <w:tcW w:w="2469" w:type="dxa"/>
            <w:shd w:val="clear" w:color="auto" w:fill="EBF1DE" w:themeFill="accent3" w:themeFillTint="32"/>
          </w:tcPr>
          <w:p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EBF1DE" w:themeFill="accent3" w:themeFillTint="32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A（现场）/B(远程）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</w:trPr>
        <w:tc>
          <w:tcPr>
            <w:tcW w:w="979" w:type="dxa"/>
            <w:vMerge w:val="continue"/>
            <w:tcBorders>
              <w:left w:val="single" w:color="auto" w:sz="8" w:space="0"/>
              <w:bottom w:val="nil"/>
            </w:tcBorders>
            <w:shd w:val="clear" w:color="auto" w:fill="EBF1DE" w:themeFill="accent3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EBF1DE" w:themeFill="accent3" w:themeFillTint="32"/>
          </w:tcPr>
          <w:p>
            <w:pPr>
              <w:snapToGrid w:val="0"/>
              <w:spacing w:line="320" w:lineRule="exac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08:30-1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：30</w:t>
            </w:r>
          </w:p>
        </w:tc>
        <w:tc>
          <w:tcPr>
            <w:tcW w:w="1370" w:type="dxa"/>
            <w:shd w:val="clear" w:color="auto" w:fill="EBF1DE" w:themeFill="accent3" w:themeFillTint="32"/>
          </w:tcPr>
          <w:p>
            <w:pPr>
              <w:spacing w:after="40"/>
              <w:rPr>
                <w:rFonts w:hint="eastAsia" w:ascii="宋体" w:hAnsi="宋体" w:eastAsia="宋体"/>
                <w:b/>
                <w:bCs/>
                <w:spacing w:val="40"/>
                <w:kern w:val="1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管理部</w:t>
            </w:r>
          </w:p>
        </w:tc>
        <w:tc>
          <w:tcPr>
            <w:tcW w:w="3038" w:type="dxa"/>
            <w:shd w:val="clear" w:color="auto" w:fill="EBF1DE" w:themeFill="accent3" w:themeFillTint="32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Arial"/>
                <w:bCs/>
                <w:sz w:val="18"/>
                <w:szCs w:val="18"/>
              </w:rPr>
            </w:pPr>
            <w:r>
              <w:rPr>
                <w:rFonts w:hint="eastAsia" w:cs="Arial"/>
                <w:bCs/>
                <w:sz w:val="18"/>
                <w:szCs w:val="18"/>
              </w:rPr>
              <w:t>GMP,SSOP、原材料和包装材料保障计划的现场情况、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关键控制点的监视系统</w:t>
            </w:r>
            <w:r>
              <w:rPr>
                <w:rFonts w:hint="eastAsia" w:cs="Arial"/>
                <w:bCs/>
                <w:sz w:val="18"/>
                <w:szCs w:val="18"/>
              </w:rPr>
              <w:t>及纠偏</w:t>
            </w:r>
            <w:r>
              <w:rPr>
                <w:rFonts w:hint="eastAsia" w:ascii="Times New Roman" w:hAnsi="Times New Roman" w:cs="Arial"/>
                <w:bCs/>
                <w:sz w:val="18"/>
                <w:szCs w:val="18"/>
              </w:rPr>
              <w:t>、</w:t>
            </w:r>
            <w:r>
              <w:rPr>
                <w:rFonts w:hint="eastAsia" w:ascii="Times New Roman" w:hAnsi="Times New Roman" w:cs="Arial"/>
                <w:bCs/>
                <w:sz w:val="18"/>
                <w:szCs w:val="18"/>
                <w:lang w:val="en-US" w:eastAsia="zh-CN"/>
              </w:rPr>
              <w:t>HACCP 计划的确认和验证</w:t>
            </w:r>
          </w:p>
          <w:p>
            <w:pPr>
              <w:spacing w:after="40"/>
              <w:rPr>
                <w:rFonts w:hint="default" w:eastAsia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2469" w:type="dxa"/>
            <w:shd w:val="clear" w:color="auto" w:fill="EBF1DE" w:themeFill="accent3" w:themeFillTint="32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H:6.3/6.4/6.5/6.6/6.7/7.6/7.7/7.8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/7.9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GB14881: 3/4/5/6/7/8/9/10/11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bCs/>
                <w:sz w:val="18"/>
                <w:szCs w:val="18"/>
              </w:rPr>
              <w:t>HACCP1.0</w:t>
            </w:r>
            <w:r>
              <w:rPr>
                <w:rFonts w:hint="eastAsia"/>
                <w:bCs/>
                <w:sz w:val="18"/>
                <w:szCs w:val="18"/>
              </w:rPr>
              <w:t>要求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EBF1DE" w:themeFill="accent3" w:themeFillTint="32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  <w:bottom w:val="nil"/>
            </w:tcBorders>
            <w:shd w:val="clear" w:color="auto" w:fill="EBF1DE" w:themeFill="accent3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EBF1DE" w:themeFill="accent3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08:</w:t>
            </w:r>
            <w:r>
              <w:rPr>
                <w:rFonts w:hint="eastAsia"/>
                <w:b/>
                <w:bCs/>
                <w:sz w:val="18"/>
                <w:szCs w:val="18"/>
              </w:rPr>
              <w:t>30-1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b/>
                <w:bCs/>
                <w:sz w:val="18"/>
                <w:szCs w:val="18"/>
              </w:rPr>
              <w:t>：30</w:t>
            </w:r>
          </w:p>
        </w:tc>
        <w:tc>
          <w:tcPr>
            <w:tcW w:w="1370" w:type="dxa"/>
            <w:shd w:val="clear" w:color="auto" w:fill="EBF1DE" w:themeFill="accent3" w:themeFillTint="32"/>
          </w:tcPr>
          <w:p>
            <w:pPr>
              <w:jc w:val="left"/>
              <w:rPr>
                <w:rFonts w:ascii="宋体" w:hAnsi="宋体"/>
                <w:b/>
                <w:bCs/>
                <w:kern w:val="10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综合办公室（采购管理）</w:t>
            </w:r>
          </w:p>
        </w:tc>
        <w:tc>
          <w:tcPr>
            <w:tcW w:w="3038" w:type="dxa"/>
            <w:shd w:val="clear" w:color="auto" w:fill="EBF1DE" w:themeFill="accent3" w:themeFillTint="32"/>
          </w:tcPr>
          <w:p>
            <w:pPr>
              <w:spacing w:line="300" w:lineRule="exact"/>
              <w:rPr>
                <w:rFonts w:cs="Arial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原材料和包装材料保障计划、食品欺诈和过敏原控制</w:t>
            </w:r>
          </w:p>
        </w:tc>
        <w:tc>
          <w:tcPr>
            <w:tcW w:w="2469" w:type="dxa"/>
            <w:shd w:val="clear" w:color="auto" w:fill="EBF1DE" w:themeFill="accent3" w:themeFillTint="32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H: 6.5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B14881:7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HACCP</w:t>
            </w:r>
            <w:r>
              <w:rPr>
                <w:rFonts w:hint="eastAsia" w:cs="Arial"/>
                <w:bCs/>
                <w:sz w:val="18"/>
                <w:szCs w:val="18"/>
              </w:rPr>
              <w:t>1.0要求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EBF1DE" w:themeFill="accent3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B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  <w:bottom w:val="nil"/>
            </w:tcBorders>
            <w:shd w:val="clear" w:color="auto" w:fill="EBF1DE" w:themeFill="accent3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EBF1DE" w:themeFill="accent3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1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b/>
                <w:bCs/>
                <w:sz w:val="18"/>
                <w:szCs w:val="18"/>
              </w:rPr>
              <w:t>:30</w:t>
            </w:r>
          </w:p>
        </w:tc>
        <w:tc>
          <w:tcPr>
            <w:tcW w:w="1370" w:type="dxa"/>
            <w:shd w:val="clear" w:color="auto" w:fill="EBF1DE" w:themeFill="accent3" w:themeFillTint="32"/>
          </w:tcPr>
          <w:p>
            <w:pPr>
              <w:spacing w:line="30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38" w:type="dxa"/>
            <w:shd w:val="clear" w:color="auto" w:fill="EBF1DE" w:themeFill="accent3" w:themeFillTint="32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审核组整理资料和管代沟通</w:t>
            </w:r>
          </w:p>
        </w:tc>
        <w:tc>
          <w:tcPr>
            <w:tcW w:w="2469" w:type="dxa"/>
            <w:shd w:val="clear" w:color="auto" w:fill="EBF1DE" w:themeFill="accent3" w:themeFillTint="32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与</w:t>
            </w:r>
            <w:r>
              <w:rPr>
                <w:rFonts w:hint="eastAsia"/>
                <w:sz w:val="18"/>
                <w:szCs w:val="18"/>
              </w:rPr>
              <w:t>管理者代表</w:t>
            </w:r>
            <w:r>
              <w:rPr>
                <w:sz w:val="18"/>
                <w:szCs w:val="18"/>
              </w:rPr>
              <w:t>沟通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EBF1DE" w:themeFill="accent3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/B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  <w:bottom w:val="nil"/>
            </w:tcBorders>
            <w:shd w:val="clear" w:color="auto" w:fill="EBF1DE" w:themeFill="accent3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EBF1DE" w:themeFill="accent3" w:themeFillTint="32"/>
          </w:tcPr>
          <w:p>
            <w:pPr>
              <w:snapToGrid w:val="0"/>
              <w:spacing w:line="320" w:lineRule="exac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1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b/>
                <w:bCs/>
                <w:sz w:val="18"/>
                <w:szCs w:val="18"/>
              </w:rPr>
              <w:t>:00</w:t>
            </w:r>
          </w:p>
        </w:tc>
        <w:tc>
          <w:tcPr>
            <w:tcW w:w="1370" w:type="dxa"/>
            <w:shd w:val="clear" w:color="auto" w:fill="EBF1DE" w:themeFill="accent3" w:themeFillTint="32"/>
          </w:tcPr>
          <w:p>
            <w:pPr>
              <w:spacing w:line="30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38" w:type="dxa"/>
            <w:shd w:val="clear" w:color="auto" w:fill="EBF1DE" w:themeFill="accent3" w:themeFillTint="32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末次会议</w:t>
            </w:r>
          </w:p>
        </w:tc>
        <w:tc>
          <w:tcPr>
            <w:tcW w:w="2469" w:type="dxa"/>
            <w:shd w:val="clear" w:color="auto" w:fill="EBF1DE" w:themeFill="accent3" w:themeFillTint="32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审核发现宣告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EBF1DE" w:themeFill="accent3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/B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  <w:bottom w:val="nil"/>
            </w:tcBorders>
            <w:shd w:val="clear" w:color="auto" w:fill="EBF1DE" w:themeFill="accent3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EBF1DE" w:themeFill="accent3" w:themeFillTint="32"/>
          </w:tcPr>
          <w:p>
            <w:pPr>
              <w:snapToGrid w:val="0"/>
              <w:spacing w:line="320" w:lineRule="exac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1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b/>
                <w:bCs/>
                <w:sz w:val="18"/>
                <w:szCs w:val="18"/>
              </w:rPr>
              <w:t>: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70" w:type="dxa"/>
            <w:shd w:val="clear" w:color="auto" w:fill="EBF1DE" w:themeFill="accent3" w:themeFillTint="32"/>
          </w:tcPr>
          <w:p>
            <w:pPr>
              <w:spacing w:line="30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38" w:type="dxa"/>
            <w:shd w:val="clear" w:color="auto" w:fill="EBF1DE" w:themeFill="accent3" w:themeFillTint="32"/>
          </w:tcPr>
          <w:p>
            <w:pPr>
              <w:spacing w:line="30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审核结束</w:t>
            </w:r>
          </w:p>
        </w:tc>
        <w:tc>
          <w:tcPr>
            <w:tcW w:w="2469" w:type="dxa"/>
            <w:shd w:val="clear" w:color="auto" w:fill="EBF1DE" w:themeFill="accent3" w:themeFillTint="32"/>
          </w:tcPr>
          <w:p>
            <w:pPr>
              <w:spacing w:line="30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EBF1DE" w:themeFill="accent3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NotTrackMoves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00000"/>
    <w:rsid w:val="027D2D97"/>
    <w:rsid w:val="29D01228"/>
    <w:rsid w:val="2E9861D8"/>
    <w:rsid w:val="31D21127"/>
    <w:rsid w:val="369A72A7"/>
    <w:rsid w:val="37752C88"/>
    <w:rsid w:val="510A5D76"/>
    <w:rsid w:val="5C3D0C5F"/>
    <w:rsid w:val="5D4217D2"/>
    <w:rsid w:val="721101F2"/>
    <w:rsid w:val="738B0966"/>
    <w:rsid w:val="76EA32EC"/>
    <w:rsid w:val="7EC646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0</TotalTime>
  <ScaleCrop>false</ScaleCrop>
  <LinksUpToDate>false</LinksUpToDate>
  <CharactersWithSpaces>5336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和为贵</cp:lastModifiedBy>
  <cp:lastPrinted>2021-11-23T03:26:00Z</cp:lastPrinted>
  <dcterms:modified xsi:type="dcterms:W3CDTF">2021-12-03T00:27:34Z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2052-11.1.0.11115</vt:lpwstr>
  </property>
</Properties>
</file>