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0418-2019-QEO-2021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德玛仕河北仪器仪表有限公司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Q:ISC-Q-2019-0527,E:ISC-E-2019-0350,O:ISC-O-2019-0334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91130127MA08DN5W1P</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r>
              <w:rPr>
                <w:rFonts w:hint="eastAsia"/>
                <w:sz w:val="22"/>
                <w:szCs w:val="22"/>
                <w:lang w:val="en-US" w:eastAsia="zh-CN"/>
              </w:rPr>
              <w:t>□  GB/T 19001-2016 idt ISO 9001:2015标准 (不适用：  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r>
              <w:rPr>
                <w:rFonts w:hint="eastAsia"/>
                <w:sz w:val="22"/>
                <w:szCs w:val="22"/>
                <w:lang w:val="en-US" w:eastAsia="zh-CN"/>
              </w:rPr>
              <w:t>□  GB/T 24001-2016 idt ISO 14001:2015标准；</w:t>
            </w:r>
          </w:p>
          <w:p>
            <w:pPr>
              <w:snapToGrid w:val="0"/>
              <w:spacing w:line="0" w:lineRule="atLeast"/>
              <w:jc w:val="left"/>
              <w:rPr>
                <w:rFonts w:hint="eastAsia"/>
                <w:sz w:val="22"/>
                <w:szCs w:val="22"/>
                <w:lang w:val="en-US" w:eastAsia="zh-CN"/>
              </w:rPr>
            </w:pPr>
            <w:bookmarkStart w:id="5" w:name="S勾选"/>
            <w:r>
              <w:rPr>
                <w:rFonts w:hint="eastAsia"/>
                <w:sz w:val="22"/>
                <w:szCs w:val="22"/>
                <w:lang w:val="en-US" w:eastAsia="zh-CN"/>
              </w:rPr>
              <w:t>■</w:t>
            </w:r>
            <w:bookmarkEnd w:id="5"/>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6" w:name="EnMS勾选"/>
            <w:r>
              <w:rPr>
                <w:rFonts w:hint="eastAsia"/>
                <w:sz w:val="22"/>
                <w:szCs w:val="22"/>
                <w:lang w:val="en-US" w:eastAsia="zh-CN"/>
              </w:rPr>
              <w:t>□</w:t>
            </w:r>
            <w:bookmarkEnd w:id="6"/>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ISO 22000-2018</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7" w:name="体系人数"/>
            <w:r>
              <w:rPr>
                <w:rFonts w:hint="eastAsia"/>
                <w:sz w:val="22"/>
                <w:szCs w:val="22"/>
                <w:lang w:val="en-US" w:eastAsia="zh-CN"/>
              </w:rPr>
              <w:t>Q:10,E:10,O:10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1" w:name="特殊审核勾选"/>
            <w:r>
              <w:rPr>
                <w:rFonts w:hint="eastAsia"/>
                <w:b/>
                <w:color w:val="000000" w:themeColor="text1"/>
                <w:spacing w:val="-2"/>
                <w:sz w:val="21"/>
                <w:szCs w:val="21"/>
                <w:lang w:val="en-US" w:eastAsia="zh-CN"/>
              </w:rPr>
              <w:t>□</w:t>
            </w:r>
            <w:bookmarkEnd w:id="11"/>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sym w:font="Wingdings 2" w:char="0052"/>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2" w:name="组织名称Add1"/>
            <w:r>
              <w:rPr>
                <w:rFonts w:hint="eastAsia" w:ascii="Times New Roman" w:hAnsi="Times New Roman" w:eastAsia="宋体" w:cs="Times New Roman"/>
                <w:b w:val="0"/>
                <w:kern w:val="2"/>
                <w:sz w:val="22"/>
                <w:szCs w:val="22"/>
                <w:lang w:val="en-US" w:eastAsia="zh-CN" w:bidi="ar-SA"/>
              </w:rPr>
              <w:t>德玛仕河北仪器仪表有限公司</w:t>
            </w:r>
            <w:bookmarkEnd w:id="12"/>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3" w:name="审核范围"/>
            <w:r>
              <w:rPr>
                <w:rFonts w:hint="eastAsia" w:cs="Times New Roman"/>
                <w:b w:val="0"/>
                <w:kern w:val="2"/>
                <w:sz w:val="22"/>
                <w:szCs w:val="22"/>
                <w:lang w:val="en-US" w:eastAsia="zh-CN" w:bidi="ar-SA"/>
              </w:rPr>
              <w:t>Q：压力表的销售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E：压力表的销售及其所涉及场所的相关环境管理活动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O：压力表的销售及其所涉及场所的相关职业健康安全管理活动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注册地址"/>
            <w:r>
              <w:rPr>
                <w:rFonts w:hint="eastAsia" w:ascii="Times New Roman" w:hAnsi="Times New Roman" w:eastAsia="宋体" w:cs="Times New Roman"/>
                <w:b w:val="0"/>
                <w:kern w:val="2"/>
                <w:sz w:val="22"/>
                <w:szCs w:val="22"/>
                <w:lang w:val="en-GB" w:eastAsia="zh-CN" w:bidi="ar-SA"/>
              </w:rPr>
              <w:t>河北省石家庄市高邑县中韩乡河村中坊路中段</w:t>
            </w:r>
            <w:bookmarkEnd w:id="14"/>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5" w:name="办公地址"/>
            <w:r>
              <w:rPr>
                <w:rFonts w:hint="eastAsia" w:ascii="Times New Roman" w:hAnsi="Times New Roman" w:eastAsia="宋体" w:cs="Times New Roman"/>
                <w:b w:val="0"/>
                <w:kern w:val="2"/>
                <w:sz w:val="22"/>
                <w:szCs w:val="22"/>
                <w:lang w:val="en-GB" w:eastAsia="zh-CN" w:bidi="ar-SA"/>
              </w:rPr>
              <w:t>河北省石家庄市高邑县中韩乡河村中坊路中段</w:t>
            </w:r>
            <w:bookmarkEnd w:id="15"/>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kern w:val="2"/>
                <w:sz w:val="24"/>
                <w:szCs w:val="24"/>
                <w:lang w:val="en-US" w:eastAsia="zh-CN" w:bidi="ar-SA"/>
              </w:rPr>
              <w:t>Demas Hebei Instruments and Instruments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pStyle w:val="2"/>
              <w:spacing w:line="400" w:lineRule="exact"/>
              <w:ind w:left="0" w:leftChars="0" w:firstLine="0" w:firstLineChars="0"/>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Borders/>
          </w:tcPr>
          <w:p>
            <w:pPr>
              <w:snapToGrid w:val="0"/>
              <w:spacing w:line="0" w:lineRule="atLeast"/>
              <w:jc w:val="left"/>
              <w:rPr>
                <w:rFonts w:cs="Arial"/>
                <w:b/>
                <w:bCs/>
                <w:sz w:val="22"/>
                <w:szCs w:val="16"/>
                <w:lang w:val="en-US"/>
              </w:rPr>
            </w:pPr>
          </w:p>
        </w:tc>
        <w:tc>
          <w:tcPr>
            <w:tcW w:w="3373" w:type="dxa"/>
            <w:vMerge w:val="continue"/>
            <w:tcBorders/>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Borders/>
          </w:tcPr>
          <w:p>
            <w:pPr>
              <w:snapToGrid w:val="0"/>
              <w:spacing w:line="0" w:lineRule="atLeast"/>
              <w:jc w:val="left"/>
              <w:rPr>
                <w:rFonts w:cs="Arial"/>
                <w:b/>
                <w:bCs/>
                <w:sz w:val="22"/>
                <w:szCs w:val="16"/>
                <w:lang w:val="en-US"/>
              </w:rPr>
            </w:pPr>
          </w:p>
        </w:tc>
        <w:tc>
          <w:tcPr>
            <w:tcW w:w="3373" w:type="dxa"/>
            <w:vMerge w:val="continue"/>
            <w:tcBorders/>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pStyle w:val="2"/>
              <w:spacing w:line="240" w:lineRule="auto"/>
              <w:ind w:left="0" w:leftChars="0" w:firstLine="0" w:firstLineChars="0"/>
              <w:rPr>
                <w:rFonts w:hint="eastAsia"/>
                <w:sz w:val="21"/>
                <w:szCs w:val="16"/>
                <w:lang w:val="en-US" w:eastAsia="zh-CN"/>
              </w:rPr>
            </w:pPr>
            <w:r>
              <w:rPr>
                <w:rFonts w:hint="default" w:ascii="Times New Roman" w:hAnsi="Times New Roman" w:cs="Times New Roman"/>
                <w:sz w:val="24"/>
                <w:szCs w:val="24"/>
              </w:rPr>
              <w:t xml:space="preserve">The Relative Occupational Health Safety Management Activities about </w:t>
            </w:r>
            <w:r>
              <w:rPr>
                <w:rFonts w:hint="default" w:ascii="Times New Roman" w:hAnsi="Times New Roman" w:eastAsia="楷体_GB2312" w:cs="Times New Roman"/>
                <w:sz w:val="24"/>
                <w:szCs w:val="24"/>
              </w:rPr>
              <w:t>Sales of</w:t>
            </w:r>
            <w:r>
              <w:rPr>
                <w:rFonts w:hint="eastAsia" w:ascii="Times New Roman" w:hAnsi="Times New Roman" w:eastAsia="楷体_GB2312" w:cs="Times New Roman"/>
                <w:sz w:val="24"/>
                <w:szCs w:val="24"/>
                <w:lang w:val="en-US" w:eastAsia="zh-CN"/>
              </w:rPr>
              <w:t xml:space="preserve"> Pressure gauge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restart"/>
            <w:tcBorders/>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Borders/>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楷体_GB2312" w:cs="Times New Roman"/>
                <w:sz w:val="24"/>
                <w:szCs w:val="24"/>
                <w:lang w:val="en-US" w:eastAsia="zh-CN"/>
              </w:rPr>
              <w:t>Middle Section of Zhongfang Road, Hecun, Zhonghan Township, Gaoyi County, Shijiazhuang City, Hebei Province</w:t>
            </w:r>
          </w:p>
        </w:tc>
        <w:tc>
          <w:tcPr>
            <w:tcW w:w="1337" w:type="dxa"/>
          </w:tcPr>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continue"/>
            <w:tcBorders/>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vMerge w:val="continue"/>
            <w:tcBorders/>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Borders/>
          </w:tcPr>
          <w:p>
            <w:pPr>
              <w:snapToGrid w:val="0"/>
              <w:spacing w:line="0" w:lineRule="atLeast"/>
              <w:jc w:val="left"/>
              <w:rPr>
                <w:sz w:val="22"/>
                <w:szCs w:val="16"/>
              </w:rPr>
            </w:pPr>
          </w:p>
        </w:tc>
        <w:tc>
          <w:tcPr>
            <w:tcW w:w="3373" w:type="dxa"/>
            <w:vMerge w:val="continue"/>
            <w:tcBorders/>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tcBorders/>
          </w:tcPr>
          <w:p>
            <w:pPr>
              <w:snapToGrid w:val="0"/>
              <w:spacing w:line="0" w:lineRule="atLeast"/>
              <w:jc w:val="left"/>
              <w:rPr>
                <w:sz w:val="22"/>
                <w:szCs w:val="16"/>
              </w:rPr>
            </w:pPr>
          </w:p>
        </w:tc>
        <w:tc>
          <w:tcPr>
            <w:tcW w:w="3373" w:type="dxa"/>
            <w:vMerge w:val="restart"/>
            <w:tcBorders/>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楷体_GB2312" w:cs="Times New Roman"/>
                <w:sz w:val="24"/>
                <w:szCs w:val="24"/>
                <w:lang w:val="en-US" w:eastAsia="zh-CN"/>
              </w:rPr>
              <w:t>Middle Section of Zhongfang Road, Hecun, Zhonghan Township, Gaoyi County, Shijiazhuang City, Hebei Province</w:t>
            </w:r>
          </w:p>
        </w:tc>
        <w:tc>
          <w:tcPr>
            <w:tcW w:w="1337" w:type="dxa"/>
          </w:tcPr>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continue"/>
            <w:tcBorders/>
          </w:tcPr>
          <w:p>
            <w:pPr>
              <w:pStyle w:val="2"/>
              <w:spacing w:line="400" w:lineRule="exact"/>
              <w:ind w:left="0" w:leftChars="0" w:firstLine="0" w:firstLineChars="0"/>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Borders/>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_GoBack"/>
            <w:bookmarkEnd w:id="16"/>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2F1B23"/>
    <w:rsid w:val="2B0E2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2021-09-12T07:29:42Z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