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0418-2019-QEO-2021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德玛仕河北仪器仪表有限公司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德玛仕河北仪器仪表有限公司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河北省石家庄市高邑县中韩乡河村中坊路中段</w:t>
            </w:r>
            <w:bookmarkEnd w:id="6"/>
          </w:p>
        </w:tc>
        <w:tc>
          <w:tcPr>
            <w:tcW w:w="1242" w:type="dxa"/>
            <w:vMerge w:val="restart"/>
            <w:vAlign w:val="center"/>
          </w:tcPr>
          <w:p>
            <w:r>
              <w:rPr>
                <w:rFonts w:hint="eastAsia"/>
              </w:rPr>
              <w:t>邮编</w:t>
            </w:r>
          </w:p>
        </w:tc>
        <w:tc>
          <w:tcPr>
            <w:tcW w:w="1771" w:type="dxa"/>
          </w:tcPr>
          <w:p>
            <w:bookmarkStart w:id="7" w:name="注册邮编"/>
            <w:r>
              <w:t>051330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河北省石家庄市高邑县中韩乡河村中坊路中段</w:t>
            </w:r>
            <w:bookmarkEnd w:id="8"/>
          </w:p>
        </w:tc>
        <w:tc>
          <w:tcPr>
            <w:tcW w:w="1242" w:type="dxa"/>
            <w:vMerge w:val="continue"/>
            <w:vAlign w:val="center"/>
          </w:tcPr>
          <w:p/>
        </w:tc>
        <w:tc>
          <w:tcPr>
            <w:tcW w:w="1771" w:type="dxa"/>
          </w:tcPr>
          <w:p>
            <w:bookmarkStart w:id="9" w:name="办公邮编"/>
            <w:r>
              <w:t>051330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王庆</w:t>
            </w:r>
            <w:bookmarkEnd w:id="10"/>
          </w:p>
        </w:tc>
        <w:tc>
          <w:tcPr>
            <w:tcW w:w="1313" w:type="dxa"/>
            <w:vAlign w:val="center"/>
          </w:tcPr>
          <w:p>
            <w:r>
              <w:rPr>
                <w:rFonts w:hint="eastAsia"/>
              </w:rPr>
              <w:t>电话.</w:t>
            </w:r>
          </w:p>
        </w:tc>
        <w:tc>
          <w:tcPr>
            <w:tcW w:w="2180" w:type="dxa"/>
            <w:vAlign w:val="center"/>
          </w:tcPr>
          <w:p>
            <w:bookmarkStart w:id="11" w:name="联系人电话"/>
            <w:r>
              <w:t>18031349586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柳国青</w:t>
            </w:r>
            <w:bookmarkEnd w:id="13"/>
          </w:p>
        </w:tc>
        <w:tc>
          <w:tcPr>
            <w:tcW w:w="1313" w:type="dxa"/>
            <w:vAlign w:val="center"/>
          </w:tcPr>
          <w:p>
            <w:r>
              <w:rPr>
                <w:rFonts w:hint="eastAsia"/>
              </w:rPr>
              <w:t>管理者代表</w:t>
            </w:r>
          </w:p>
        </w:tc>
        <w:tc>
          <w:tcPr>
            <w:tcW w:w="2180" w:type="dxa"/>
          </w:tcPr>
          <w:p>
            <w:bookmarkStart w:id="14" w:name="管理者代表"/>
            <w:r>
              <w:t>石会岩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仿宋" w:hAnsi="仿宋" w:eastAsia="仿宋" w:cs="仿宋"/>
                <w:color w:val="auto"/>
                <w:sz w:val="24"/>
                <w:szCs w:val="24"/>
              </w:rPr>
              <w:t>销售流程：业务洽谈—签订合同—</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lang w:val="en-US" w:eastAsia="zh-CN"/>
              </w:rPr>
              <w:t>采购/组装</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发货</w:t>
            </w:r>
            <w:r>
              <w:rPr>
                <w:rFonts w:hint="eastAsia" w:ascii="仿宋" w:hAnsi="仿宋" w:eastAsia="仿宋" w:cs="仿宋"/>
                <w:color w:val="auto"/>
                <w:sz w:val="24"/>
                <w:szCs w:val="24"/>
                <w:lang w:eastAsia="zh-CN"/>
              </w:rPr>
              <w:t>至顾客指定地点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验收—</w:t>
            </w:r>
            <w:r>
              <w:rPr>
                <w:rFonts w:hint="eastAsia" w:ascii="仿宋" w:hAnsi="仿宋" w:eastAsia="仿宋" w:cs="仿宋"/>
                <w:color w:val="auto"/>
                <w:sz w:val="24"/>
                <w:szCs w:val="24"/>
              </w:rPr>
              <w:t xml:space="preserve">结算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2021年09月11日 上午至2021年09月12日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Q：压力表的销售</w:t>
            </w:r>
          </w:p>
          <w:p>
            <w:r>
              <w:t>E：压力表的销售及其所涉及场所的相关环境管理活动</w:t>
            </w:r>
          </w:p>
          <w:p>
            <w:r>
              <w:t>O：压力表的销售及其所涉及场所的相关职业健康安全管理活动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w:t>
            </w:r>
          </w:p>
          <w:p>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93"/>
        <w:gridCol w:w="522"/>
        <w:gridCol w:w="2555"/>
        <w:gridCol w:w="13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93" w:type="dxa"/>
            <w:shd w:val="clear" w:color="auto" w:fill="F3F3F3"/>
            <w:tcMar>
              <w:left w:w="57" w:type="dxa"/>
              <w:right w:w="57" w:type="dxa"/>
            </w:tcMar>
          </w:tcPr>
          <w:p>
            <w:r>
              <w:rPr>
                <w:rFonts w:hint="eastAsia"/>
              </w:rPr>
              <w:t>经营场所的地址</w:t>
            </w:r>
          </w:p>
          <w:p>
            <w:r>
              <w:rPr>
                <w:rFonts w:hint="eastAsia"/>
              </w:rPr>
              <w:t>（多现场和临时现场）</w:t>
            </w:r>
          </w:p>
        </w:tc>
        <w:tc>
          <w:tcPr>
            <w:tcW w:w="522" w:type="dxa"/>
            <w:shd w:val="clear" w:color="auto" w:fill="F3F3F3"/>
            <w:tcMar>
              <w:left w:w="57" w:type="dxa"/>
              <w:right w:w="57" w:type="dxa"/>
            </w:tcMar>
          </w:tcPr>
          <w:p>
            <w:r>
              <w:rPr>
                <w:rFonts w:hint="eastAsia"/>
              </w:rPr>
              <w:t>员工人数</w:t>
            </w:r>
          </w:p>
        </w:tc>
        <w:tc>
          <w:tcPr>
            <w:tcW w:w="2555" w:type="dxa"/>
            <w:shd w:val="clear" w:color="auto" w:fill="F3F3F3"/>
            <w:tcMar>
              <w:left w:w="57" w:type="dxa"/>
              <w:right w:w="57" w:type="dxa"/>
            </w:tcMar>
          </w:tcPr>
          <w:p>
            <w:r>
              <w:rPr>
                <w:rFonts w:hint="eastAsia"/>
              </w:rPr>
              <w:t>审核范围（产品和过程）</w:t>
            </w:r>
          </w:p>
          <w:p/>
          <w:p/>
        </w:tc>
        <w:tc>
          <w:tcPr>
            <w:tcW w:w="134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德玛仕河北仪器仪表有限公司</w:t>
            </w:r>
          </w:p>
          <w:p>
            <w:pPr>
              <w:pStyle w:val="2"/>
              <w:rPr>
                <w:rFonts w:hint="eastAsia"/>
                <w:lang w:val="de-DE" w:eastAsia="zh-CN"/>
              </w:rPr>
            </w:pPr>
            <w:r>
              <w:rPr>
                <w:rFonts w:asciiTheme="minorEastAsia" w:hAnsiTheme="minorEastAsia" w:eastAsiaTheme="minorEastAsia"/>
                <w:sz w:val="20"/>
              </w:rPr>
              <w:t>河北省石家庄市高邑县中韩乡河村中坊路中段</w:t>
            </w:r>
          </w:p>
        </w:tc>
        <w:tc>
          <w:tcPr>
            <w:tcW w:w="1893" w:type="dxa"/>
          </w:tcPr>
          <w:p>
            <w:pPr>
              <w:rPr>
                <w:lang w:val="de-DE" w:eastAsia="ja-JP"/>
              </w:rPr>
            </w:pPr>
            <w:r>
              <w:rPr>
                <w:rFonts w:asciiTheme="minorEastAsia" w:hAnsiTheme="minorEastAsia" w:eastAsiaTheme="minorEastAsia"/>
                <w:sz w:val="20"/>
              </w:rPr>
              <w:t>河北省石家庄市高邑县中韩乡河村中坊路中段</w:t>
            </w:r>
          </w:p>
        </w:tc>
        <w:tc>
          <w:tcPr>
            <w:tcW w:w="522" w:type="dxa"/>
            <w:vAlign w:val="center"/>
          </w:tcPr>
          <w:p>
            <w:pPr>
              <w:rPr>
                <w:rFonts w:hint="default" w:eastAsia="宋体"/>
                <w:lang w:val="en-US" w:eastAsia="zh-CN"/>
              </w:rPr>
            </w:pPr>
            <w:r>
              <w:rPr>
                <w:rFonts w:hint="eastAsia"/>
                <w:lang w:val="en-US" w:eastAsia="zh-CN"/>
              </w:rPr>
              <w:t>10</w:t>
            </w:r>
          </w:p>
        </w:tc>
        <w:tc>
          <w:tcPr>
            <w:tcW w:w="2555" w:type="dxa"/>
            <w:vAlign w:val="center"/>
          </w:tcPr>
          <w:p>
            <w:pPr>
              <w:rPr>
                <w:sz w:val="20"/>
              </w:rPr>
            </w:pPr>
            <w:r>
              <w:rPr>
                <w:sz w:val="20"/>
              </w:rPr>
              <w:t>Q：压力表的销售</w:t>
            </w:r>
          </w:p>
          <w:p>
            <w:pPr>
              <w:rPr>
                <w:sz w:val="20"/>
              </w:rPr>
            </w:pPr>
            <w:r>
              <w:rPr>
                <w:sz w:val="20"/>
              </w:rPr>
              <w:t>E：压力表的销售及其所涉及场所的相关环境管理活动</w:t>
            </w:r>
          </w:p>
          <w:p>
            <w:pPr>
              <w:rPr>
                <w:lang w:eastAsia="ja-JP"/>
              </w:rPr>
            </w:pPr>
            <w:r>
              <w:rPr>
                <w:sz w:val="20"/>
              </w:rPr>
              <w:t>O：压力表的销售及其所涉及场所的相关职业健康安全管理活动</w:t>
            </w:r>
          </w:p>
        </w:tc>
        <w:tc>
          <w:tcPr>
            <w:tcW w:w="1340" w:type="dxa"/>
            <w:vAlign w:val="center"/>
          </w:tcPr>
          <w:p>
            <w:pPr>
              <w:rPr>
                <w:rFonts w:hint="eastAsia"/>
                <w:lang w:val="en-US" w:eastAsia="zh-CN"/>
              </w:rPr>
            </w:pPr>
            <w:r>
              <w:rPr>
                <w:rFonts w:hint="eastAsia"/>
                <w:lang w:val="en-US" w:eastAsia="zh-CN"/>
              </w:rPr>
              <w:t>GB/T19001-2016</w:t>
            </w:r>
          </w:p>
          <w:p>
            <w:pPr>
              <w:pStyle w:val="2"/>
              <w:rPr>
                <w:rFonts w:hint="eastAsia"/>
                <w:lang w:val="en-US" w:eastAsia="zh-CN"/>
              </w:rPr>
            </w:pPr>
            <w:r>
              <w:rPr>
                <w:rFonts w:hint="eastAsia"/>
                <w:lang w:val="en-US" w:eastAsia="zh-CN"/>
              </w:rPr>
              <w:t>GB/T24001-2016</w:t>
            </w:r>
          </w:p>
          <w:p>
            <w:pPr>
              <w:pStyle w:val="2"/>
              <w:rPr>
                <w:rFonts w:hint="default"/>
                <w:lang w:val="en-US" w:eastAsia="zh-CN"/>
              </w:rPr>
            </w:pPr>
            <w:r>
              <w:rPr>
                <w:rFonts w:hint="eastAsia"/>
                <w:lang w:val="en-US" w:eastAsia="zh-CN"/>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93" w:type="dxa"/>
            <w:vAlign w:val="center"/>
          </w:tcPr>
          <w:p>
            <w:pPr>
              <w:rPr>
                <w:lang w:eastAsia="ja-JP"/>
              </w:rPr>
            </w:pPr>
          </w:p>
        </w:tc>
        <w:tc>
          <w:tcPr>
            <w:tcW w:w="522" w:type="dxa"/>
            <w:vAlign w:val="center"/>
          </w:tcPr>
          <w:p>
            <w:pPr>
              <w:rPr>
                <w:lang w:eastAsia="ja-JP"/>
              </w:rPr>
            </w:pPr>
          </w:p>
        </w:tc>
        <w:tc>
          <w:tcPr>
            <w:tcW w:w="2555"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893" w:type="dxa"/>
            <w:vAlign w:val="center"/>
          </w:tcPr>
          <w:p>
            <w:pPr>
              <w:rPr>
                <w:lang w:eastAsia="ja-JP"/>
              </w:rPr>
            </w:pPr>
          </w:p>
        </w:tc>
        <w:tc>
          <w:tcPr>
            <w:tcW w:w="522" w:type="dxa"/>
            <w:vAlign w:val="center"/>
          </w:tcPr>
          <w:p>
            <w:pPr>
              <w:rPr>
                <w:lang w:eastAsia="ja-JP"/>
              </w:rPr>
            </w:pPr>
          </w:p>
        </w:tc>
        <w:tc>
          <w:tcPr>
            <w:tcW w:w="2555"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893" w:type="dxa"/>
            <w:vAlign w:val="center"/>
          </w:tcPr>
          <w:p>
            <w:pPr>
              <w:rPr>
                <w:lang w:eastAsia="ja-JP"/>
              </w:rPr>
            </w:pPr>
          </w:p>
        </w:tc>
        <w:tc>
          <w:tcPr>
            <w:tcW w:w="522" w:type="dxa"/>
            <w:vAlign w:val="center"/>
          </w:tcPr>
          <w:p>
            <w:pPr>
              <w:rPr>
                <w:lang w:eastAsia="ja-JP"/>
              </w:rPr>
            </w:pPr>
          </w:p>
        </w:tc>
        <w:tc>
          <w:tcPr>
            <w:tcW w:w="2555"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893" w:type="dxa"/>
            <w:vAlign w:val="center"/>
          </w:tcPr>
          <w:p>
            <w:pPr>
              <w:rPr>
                <w:lang w:eastAsia="ja-JP"/>
              </w:rPr>
            </w:pPr>
          </w:p>
        </w:tc>
        <w:tc>
          <w:tcPr>
            <w:tcW w:w="522" w:type="dxa"/>
            <w:vAlign w:val="center"/>
          </w:tcPr>
          <w:p>
            <w:pPr>
              <w:rPr>
                <w:lang w:eastAsia="ja-JP"/>
              </w:rPr>
            </w:pPr>
          </w:p>
        </w:tc>
        <w:tc>
          <w:tcPr>
            <w:tcW w:w="2555" w:type="dxa"/>
            <w:vAlign w:val="center"/>
          </w:tcPr>
          <w:p>
            <w:pPr>
              <w:rPr>
                <w:lang w:eastAsia="ja-JP"/>
              </w:rPr>
            </w:pPr>
          </w:p>
        </w:tc>
        <w:tc>
          <w:tcPr>
            <w:tcW w:w="134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2018-N1QMS-3021820</w:t>
            </w:r>
          </w:p>
          <w:p>
            <w:r>
              <w:t>2021-N1EMS-4021820</w:t>
            </w:r>
          </w:p>
          <w:p>
            <w:r>
              <w:t>2020-N1OHSMS-4021820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邱玉峰</w:t>
            </w:r>
          </w:p>
        </w:tc>
        <w:tc>
          <w:tcPr>
            <w:tcW w:w="1089" w:type="dxa"/>
            <w:vAlign w:val="center"/>
          </w:tcPr>
          <w:p>
            <w:r>
              <w:t>组员</w:t>
            </w:r>
          </w:p>
        </w:tc>
        <w:tc>
          <w:tcPr>
            <w:tcW w:w="711" w:type="dxa"/>
            <w:vAlign w:val="center"/>
          </w:tcPr>
          <w:p>
            <w:r>
              <w:t>男</w:t>
            </w:r>
          </w:p>
        </w:tc>
        <w:tc>
          <w:tcPr>
            <w:tcW w:w="3870" w:type="dxa"/>
            <w:vAlign w:val="center"/>
          </w:tcPr>
          <w:p>
            <w:r>
              <w:t>ISC-JSZJ-227</w:t>
            </w:r>
          </w:p>
          <w:p>
            <w:r>
              <w:t>ISC-JSZJ-227</w:t>
            </w:r>
          </w:p>
          <w:p>
            <w:r>
              <w:t>ISC-JSZJ-227</w:t>
            </w:r>
          </w:p>
          <w:p>
            <w:r>
              <w:t>河北省防伪行业协会</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组员</w:t>
            </w:r>
          </w:p>
        </w:tc>
        <w:tc>
          <w:tcPr>
            <w:tcW w:w="711" w:type="dxa"/>
            <w:vAlign w:val="center"/>
          </w:tcPr>
          <w:p>
            <w:r>
              <w:t>男</w:t>
            </w:r>
          </w:p>
        </w:tc>
        <w:tc>
          <w:tcPr>
            <w:tcW w:w="3870" w:type="dxa"/>
            <w:vAlign w:val="center"/>
          </w:tcPr>
          <w:p>
            <w:r>
              <w:t>2021-N1QMS-1281767</w:t>
            </w:r>
          </w:p>
        </w:tc>
        <w:tc>
          <w:tcPr>
            <w:tcW w:w="2179" w:type="dxa"/>
            <w:vAlign w:val="center"/>
          </w:tcPr>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推荐认证注册(□初审□再认证</w:t>
            </w:r>
            <w:r>
              <w:rPr>
                <w:rFonts w:hint="eastAsia"/>
              </w:rPr>
              <w:sym w:font="Wingdings 2" w:char="0052"/>
            </w:r>
            <w:r>
              <w:rPr>
                <w:rFonts w:hint="eastAsia"/>
                <w:lang w:val="en-US" w:eastAsia="zh-CN"/>
              </w:rPr>
              <w:t>转版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在完成纠正措施后推荐保持认证注册(□监督审核□再认证</w:t>
            </w:r>
            <w:r>
              <w:rPr>
                <w:rFonts w:hint="eastAsia"/>
              </w:rPr>
              <w:sym w:font="Wingdings 2" w:char="0052"/>
            </w:r>
            <w:r>
              <w:rPr>
                <w:rFonts w:hint="eastAsia"/>
                <w:lang w:val="en-US" w:eastAsia="zh-CN"/>
              </w:rPr>
              <w:t>转版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1389380" cy="322580"/>
                  <wp:effectExtent l="0" t="0" r="7620" b="762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6" cstate="print"/>
                          <a:srcRect/>
                          <a:stretch>
                            <a:fillRect/>
                          </a:stretch>
                        </pic:blipFill>
                        <pic:spPr>
                          <a:xfrm>
                            <a:off x="0" y="0"/>
                            <a:ext cx="1390015" cy="322580"/>
                          </a:xfrm>
                          <a:prstGeom prst="rect">
                            <a:avLst/>
                          </a:prstGeom>
                          <a:noFill/>
                          <a:ln w="9525">
                            <a:noFill/>
                            <a:miter lim="800000"/>
                            <a:headEnd/>
                            <a:tailEnd/>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sym w:font="Wingdings 2" w:char="0052"/>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Times New Roman" w:hAnsi="Times New Roman" w:eastAsia="宋体" w:cs="Times New Roman"/>
                <w:i/>
                <w:iCs/>
              </w:rPr>
              <w:t>坚持产品质量第一，确保增进顾客满意；坚持遵守法律法规，实现环保安全目标；规范企业经营管理，持续改进管理体系。</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合同价格界定</w:t>
                  </w:r>
                </w:p>
              </w:tc>
              <w:tc>
                <w:tcPr>
                  <w:tcW w:w="3965" w:type="dxa"/>
                </w:tcPr>
                <w:p>
                  <w:pPr>
                    <w:shd w:val="clear" w:color="auto" w:fill="C7DAF1" w:themeFill="text2" w:themeFillTint="32"/>
                    <w:rPr>
                      <w:rFonts w:hint="default" w:eastAsia="宋体"/>
                      <w:lang w:val="en-US" w:eastAsia="zh-CN"/>
                    </w:rPr>
                  </w:pPr>
                  <w:r>
                    <w:rPr>
                      <w:rFonts w:hint="eastAsia"/>
                      <w:lang w:val="en-US" w:eastAsia="zh-CN"/>
                    </w:rPr>
                    <w:t>双方沟通</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市场需求信息</w:t>
                  </w:r>
                </w:p>
              </w:tc>
              <w:tc>
                <w:tcPr>
                  <w:tcW w:w="3965" w:type="dxa"/>
                </w:tcPr>
                <w:p>
                  <w:pPr>
                    <w:shd w:val="clear" w:color="auto" w:fill="C7DAF1" w:themeFill="text2" w:themeFillTint="32"/>
                    <w:rPr>
                      <w:rFonts w:hint="default" w:eastAsia="宋体"/>
                      <w:lang w:val="en-US" w:eastAsia="zh-CN"/>
                    </w:rPr>
                  </w:pPr>
                  <w:r>
                    <w:rPr>
                      <w:rFonts w:hint="eastAsia"/>
                      <w:lang w:val="en-US" w:eastAsia="zh-CN"/>
                    </w:rPr>
                    <w:t>了解市场信息</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法律法规的缺失、不识别</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及时更新相关法律法规标准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产品质量</w:t>
                  </w:r>
                </w:p>
              </w:tc>
              <w:tc>
                <w:tcPr>
                  <w:tcW w:w="3965" w:type="dxa"/>
                </w:tcPr>
                <w:p>
                  <w:pPr>
                    <w:shd w:val="clear" w:color="auto" w:fill="C7DAF1" w:themeFill="text2" w:themeFillTint="32"/>
                    <w:rPr>
                      <w:rFonts w:hint="default" w:eastAsia="宋体"/>
                      <w:lang w:val="en-US" w:eastAsia="zh-CN"/>
                    </w:rPr>
                  </w:pPr>
                  <w:r>
                    <w:rPr>
                      <w:rFonts w:hint="eastAsia"/>
                      <w:lang w:val="en-US" w:eastAsia="zh-CN"/>
                    </w:rPr>
                    <w:t>严格按照操作过程控制</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0"/>
              <w:gridCol w:w="1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58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70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98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采购产品合格率≥95%；</w:t>
                  </w:r>
                </w:p>
              </w:tc>
              <w:tc>
                <w:tcPr>
                  <w:tcW w:w="2580" w:type="dxa"/>
                  <w:shd w:val="clear" w:color="auto" w:fill="auto"/>
                  <w:vAlign w:val="center"/>
                </w:tcPr>
                <w:p>
                  <w:pPr>
                    <w:shd w:val="clear" w:color="auto" w:fill="C7DAF1" w:themeFill="text2" w:themeFillTint="32"/>
                    <w:rPr>
                      <w:lang w:val="en-GB"/>
                    </w:rPr>
                  </w:pPr>
                </w:p>
              </w:tc>
              <w:tc>
                <w:tcPr>
                  <w:tcW w:w="170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采购部</w:t>
                  </w:r>
                </w:p>
              </w:tc>
              <w:tc>
                <w:tcPr>
                  <w:tcW w:w="1980"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顾客满意率≥90%</w:t>
                  </w:r>
                </w:p>
              </w:tc>
              <w:tc>
                <w:tcPr>
                  <w:tcW w:w="2580" w:type="dxa"/>
                  <w:shd w:val="clear" w:color="auto" w:fill="auto"/>
                  <w:vAlign w:val="center"/>
                </w:tcPr>
                <w:p>
                  <w:pPr>
                    <w:shd w:val="clear" w:color="auto" w:fill="C7DAF1" w:themeFill="text2" w:themeFillTint="32"/>
                    <w:rPr>
                      <w:rFonts w:ascii="宋体" w:hAnsi="宋体"/>
                    </w:rPr>
                  </w:pPr>
                </w:p>
              </w:tc>
              <w:tc>
                <w:tcPr>
                  <w:tcW w:w="170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980"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2580" w:type="dxa"/>
                  <w:shd w:val="clear" w:color="auto" w:fill="auto"/>
                  <w:vAlign w:val="center"/>
                </w:tcPr>
                <w:p>
                  <w:pPr>
                    <w:shd w:val="clear" w:color="auto" w:fill="C7DAF1" w:themeFill="text2" w:themeFillTint="32"/>
                    <w:rPr>
                      <w:rFonts w:ascii="宋体" w:hAnsi="宋体"/>
                    </w:rPr>
                  </w:pPr>
                </w:p>
              </w:tc>
              <w:tc>
                <w:tcPr>
                  <w:tcW w:w="1700" w:type="dxa"/>
                  <w:shd w:val="clear" w:color="auto" w:fill="auto"/>
                  <w:vAlign w:val="center"/>
                </w:tcPr>
                <w:p>
                  <w:pPr>
                    <w:shd w:val="clear" w:color="auto" w:fill="C7DAF1" w:themeFill="text2" w:themeFillTint="32"/>
                    <w:rPr>
                      <w:rFonts w:ascii="宋体" w:hAnsi="宋体"/>
                    </w:rPr>
                  </w:pPr>
                </w:p>
              </w:tc>
              <w:tc>
                <w:tcPr>
                  <w:tcW w:w="198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2580" w:type="dxa"/>
                  <w:shd w:val="clear" w:color="auto" w:fill="auto"/>
                  <w:vAlign w:val="center"/>
                </w:tcPr>
                <w:p>
                  <w:pPr>
                    <w:shd w:val="clear" w:color="auto" w:fill="C7DAF1" w:themeFill="text2" w:themeFillTint="32"/>
                    <w:rPr>
                      <w:rFonts w:ascii="宋体" w:hAnsi="宋体"/>
                    </w:rPr>
                  </w:pPr>
                </w:p>
              </w:tc>
              <w:tc>
                <w:tcPr>
                  <w:tcW w:w="1700" w:type="dxa"/>
                  <w:shd w:val="clear" w:color="auto" w:fill="auto"/>
                  <w:vAlign w:val="center"/>
                </w:tcPr>
                <w:p>
                  <w:pPr>
                    <w:shd w:val="clear" w:color="auto" w:fill="C7DAF1" w:themeFill="text2" w:themeFillTint="32"/>
                    <w:rPr>
                      <w:rFonts w:ascii="宋体" w:hAnsi="宋体"/>
                    </w:rPr>
                  </w:pPr>
                </w:p>
              </w:tc>
              <w:tc>
                <w:tcPr>
                  <w:tcW w:w="198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2580" w:type="dxa"/>
                  <w:shd w:val="clear" w:color="auto" w:fill="auto"/>
                  <w:vAlign w:val="center"/>
                </w:tcPr>
                <w:p>
                  <w:pPr>
                    <w:shd w:val="clear" w:color="auto" w:fill="C7DAF1" w:themeFill="text2" w:themeFillTint="32"/>
                    <w:rPr>
                      <w:rFonts w:ascii="宋体" w:hAnsi="宋体"/>
                    </w:rPr>
                  </w:pPr>
                </w:p>
              </w:tc>
              <w:tc>
                <w:tcPr>
                  <w:tcW w:w="1700" w:type="dxa"/>
                  <w:shd w:val="clear" w:color="auto" w:fill="auto"/>
                  <w:vAlign w:val="center"/>
                </w:tcPr>
                <w:p>
                  <w:pPr>
                    <w:shd w:val="clear" w:color="auto" w:fill="C7DAF1" w:themeFill="text2" w:themeFillTint="32"/>
                    <w:rPr>
                      <w:rFonts w:ascii="宋体" w:hAnsi="宋体"/>
                    </w:rPr>
                  </w:pPr>
                </w:p>
              </w:tc>
              <w:tc>
                <w:tcPr>
                  <w:tcW w:w="198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计算机、压力表测量</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数字压力表</w:t>
            </w:r>
            <w:r>
              <w:rPr>
                <w:rFonts w:hint="eastAsia"/>
                <w:u w:val="single"/>
              </w:rPr>
              <w:t>（列举1~4种）</w:t>
            </w:r>
          </w:p>
          <w:p>
            <w:pPr>
              <w:keepNext w:val="0"/>
              <w:keepLines w:val="0"/>
              <w:widowControl/>
              <w:suppressLineNumbers w:val="0"/>
              <w:jc w:val="left"/>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编号为：</w:t>
            </w:r>
            <w:r>
              <w:rPr>
                <w:rFonts w:hint="eastAsia" w:ascii="宋体" w:hAnsi="宋体" w:eastAsia="宋体" w:cs="宋体"/>
                <w:color w:val="000000"/>
                <w:kern w:val="0"/>
                <w:sz w:val="17"/>
                <w:szCs w:val="17"/>
                <w:lang w:val="en-US" w:eastAsia="zh-CN" w:bidi="ar"/>
              </w:rPr>
              <w:t>ST202109024636</w:t>
            </w:r>
            <w:r>
              <w:rPr>
                <w:rFonts w:hint="eastAsia" w:ascii="宋体" w:hAnsi="宋体" w:cs="宋体"/>
                <w:color w:val="000000"/>
                <w:kern w:val="0"/>
                <w:sz w:val="17"/>
                <w:szCs w:val="17"/>
                <w:lang w:val="en-US" w:eastAsia="zh-CN" w:bidi="ar"/>
              </w:rPr>
              <w:t>数字压力表，审核结束后已检定。见报告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eastAsia="zh-CN"/>
              </w:rPr>
              <w:t>——</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bookmarkStart w:id="34" w:name="_GoBack"/>
            <w:bookmarkEnd w:id="34"/>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市场□文化□社会□经济环境</w:t>
                  </w:r>
                </w:p>
                <w:p>
                  <w:pPr>
                    <w:shd w:val="clear" w:color="auto" w:fill="EBF1DE" w:themeFill="accent3" w:themeFillTint="32"/>
                  </w:pPr>
                  <w:r>
                    <w:rPr>
                      <w:rFonts w:hint="eastAsia"/>
                    </w:rPr>
                    <w:t>□政治□监管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最高管理者制定了文件化的管理体系方针：</w:t>
            </w:r>
            <w:r>
              <w:rPr>
                <w:rFonts w:hint="eastAsia" w:ascii="Times New Roman" w:hAnsi="Times New Roman" w:eastAsia="宋体" w:cs="Times New Roman"/>
                <w:i/>
                <w:iCs/>
              </w:rPr>
              <w:t>坚持产品质量第一，确保增进顾客满意；坚持遵守法律法规，实现环保安全目标；规范企业经营管理，持续改进管理体系。</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环境因素的识别</w:t>
                  </w:r>
                </w:p>
              </w:tc>
              <w:tc>
                <w:tcPr>
                  <w:tcW w:w="3965"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全面识别</w:t>
                  </w:r>
                </w:p>
              </w:tc>
              <w:tc>
                <w:tcPr>
                  <w:tcW w:w="1717"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重要环境因素的控制</w:t>
                  </w:r>
                </w:p>
              </w:tc>
              <w:tc>
                <w:tcPr>
                  <w:tcW w:w="3965"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按照管控措施进行控制</w:t>
                  </w:r>
                </w:p>
              </w:tc>
              <w:tc>
                <w:tcPr>
                  <w:tcW w:w="1717"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不达标排放</w:t>
                  </w:r>
                </w:p>
              </w:tc>
              <w:tc>
                <w:tcPr>
                  <w:tcW w:w="3965"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严格按照操作过程控制</w:t>
                  </w:r>
                </w:p>
              </w:tc>
              <w:tc>
                <w:tcPr>
                  <w:tcW w:w="1717" w:type="dxa"/>
                  <w:shd w:val="clear" w:color="auto" w:fill="auto"/>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w:t>
            </w:r>
            <w:r>
              <w:rPr>
                <w:rFonts w:hint="eastAsia"/>
                <w:lang w:eastAsia="zh-CN"/>
              </w:rPr>
              <w:t>：</w:t>
            </w:r>
            <w:r>
              <w:rPr>
                <w:rFonts w:hint="eastAsia"/>
                <w:lang w:val="en-US" w:eastAsia="zh-CN"/>
              </w:rPr>
              <w:t>固废处置：火灾等</w:t>
            </w:r>
            <w:r>
              <w:rPr>
                <w:rFonts w:hint="eastAsia"/>
              </w:rPr>
              <w:t>(必要时，按每个场所来描述):（不必全选）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Times New Roman"/>
                    </w:rPr>
                    <w:t>固体废弃物分类回收率100%；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按照制度执行合规处置</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Times New Roman"/>
                    </w:rPr>
                    <w:t>杜绝火灾事故发生。</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按照操作规程执行</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lang w:val="en-US" w:eastAsia="zh-CN"/>
              </w:rPr>
              <w:t>计算机、压力表测量</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垃圾桶、临时固废存放点</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数字压力表</w:t>
            </w:r>
            <w:r>
              <w:rPr>
                <w:rFonts w:hint="eastAsia"/>
                <w:u w:val="single"/>
              </w:rPr>
              <w:t>（列举1~4种）</w:t>
            </w:r>
          </w:p>
          <w:p>
            <w:pPr>
              <w:shd w:val="clear" w:color="auto" w:fill="EBF1DE" w:themeFill="accent3" w:themeFillTint="32"/>
              <w:rPr>
                <w:rFonts w:hint="eastAsia"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见质量体系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制度控制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A3"/>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sym w:font="Wingdings 2" w:char="0052"/>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w:t>
                  </w:r>
                  <w:r>
                    <w:rPr>
                      <w:rFonts w:hint="eastAsia"/>
                    </w:rPr>
                    <w:sym w:font="Wingdings 2" w:char="0052"/>
                  </w:r>
                  <w:r>
                    <w:rPr>
                      <w:rFonts w:hint="eastAsia"/>
                    </w:rPr>
                    <w:t>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52"/>
            </w:r>
            <w:r>
              <w:rPr>
                <w:rFonts w:hint="eastAsia"/>
              </w:rPr>
              <w:t>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hd w:val="clear" w:color="auto"/>
            </w:pPr>
            <w:r>
              <w:rPr>
                <w:rFonts w:hint="eastAsia"/>
              </w:rPr>
              <w:t>最高管理者制定了文件化的职业健康安全管理体系方针：</w:t>
            </w:r>
            <w:r>
              <w:rPr>
                <w:rFonts w:hint="eastAsia" w:ascii="Times New Roman" w:hAnsi="Times New Roman" w:eastAsia="宋体" w:cs="Times New Roman"/>
                <w:i/>
                <w:iCs/>
              </w:rPr>
              <w:t>坚持产品质量第一，确保增进顾客满意；坚持遵守法律法规，实现环保安全目标；规范企业经营管理，持续改进管理体系。</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仿宋" w:hAnsi="仿宋" w:eastAsia="仿宋" w:cs="仿宋"/>
                <w:color w:val="auto"/>
                <w:sz w:val="24"/>
                <w:szCs w:val="24"/>
                <w:lang w:val="en-US" w:eastAsia="zh-CN"/>
              </w:rPr>
              <w:t>王佳明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危险源的识别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全面识别</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重大风险的控制</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按照管控措施进行控制</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职业伤害</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严格按照操作过程控制</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lang w:val="en-US" w:eastAsia="zh-CN"/>
                    </w:rPr>
                  </w:pPr>
                  <w:r>
                    <w:rPr>
                      <w:rFonts w:hint="eastAsia"/>
                      <w:lang w:val="en-US" w:eastAsia="zh-CN"/>
                    </w:rPr>
                    <w:t>事故事件的发生</w:t>
                  </w:r>
                </w:p>
              </w:tc>
              <w:tc>
                <w:tcPr>
                  <w:tcW w:w="3965" w:type="dxa"/>
                  <w:vAlign w:val="top"/>
                </w:tcPr>
                <w:p>
                  <w:pPr>
                    <w:shd w:val="clear" w:color="auto" w:fill="C7DAF1" w:themeFill="text2" w:themeFillTint="32"/>
                    <w:rPr>
                      <w:rFonts w:hint="default"/>
                      <w:lang w:val="en-US" w:eastAsia="zh-CN"/>
                    </w:rPr>
                  </w:pPr>
                  <w:r>
                    <w:rPr>
                      <w:rFonts w:hint="eastAsia"/>
                      <w:lang w:val="en-US" w:eastAsia="zh-CN"/>
                    </w:rPr>
                    <w:t>按照事故处置原则</w:t>
                  </w:r>
                </w:p>
              </w:tc>
              <w:tc>
                <w:tcPr>
                  <w:tcW w:w="1717" w:type="dxa"/>
                  <w:vAlign w:val="top"/>
                </w:tcPr>
                <w:p>
                  <w:pPr>
                    <w:shd w:val="clear" w:color="auto" w:fill="C7DAF1" w:themeFill="text2" w:themeFillTint="32"/>
                    <w:rPr>
                      <w:rFonts w:hint="default"/>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2021.9.10</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rPr>
                    <w:t>杜绝职业病发生</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按照操作规程执行</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rPr>
                    <w:t>轻伤事故少于3起/年</w:t>
                  </w:r>
                </w:p>
              </w:tc>
              <w:tc>
                <w:tcPr>
                  <w:tcW w:w="3136" w:type="dxa"/>
                  <w:shd w:val="clear" w:color="auto" w:fill="auto"/>
                  <w:vAlign w:val="center"/>
                </w:tcPr>
                <w:p>
                  <w:pPr>
                    <w:rPr>
                      <w:rFonts w:ascii="宋体" w:hAnsi="宋体"/>
                    </w:rPr>
                  </w:pPr>
                  <w:r>
                    <w:rPr>
                      <w:rFonts w:hint="eastAsia" w:ascii="宋体" w:hAnsi="宋体"/>
                      <w:lang w:val="en-US" w:eastAsia="zh-CN"/>
                    </w:rPr>
                    <w:t>按照操作规程执行</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Times New Roman"/>
                    </w:rPr>
                    <w:t>杜绝火灾、死亡及重大安全事故发生；</w:t>
                  </w:r>
                </w:p>
              </w:tc>
              <w:tc>
                <w:tcPr>
                  <w:tcW w:w="3136" w:type="dxa"/>
                  <w:shd w:val="clear" w:color="auto" w:fill="auto"/>
                  <w:vAlign w:val="center"/>
                </w:tcPr>
                <w:p>
                  <w:pPr>
                    <w:rPr>
                      <w:rFonts w:ascii="宋体" w:hAnsi="宋体"/>
                    </w:rPr>
                  </w:pPr>
                  <w:r>
                    <w:rPr>
                      <w:rFonts w:hint="eastAsia" w:ascii="宋体" w:hAnsi="宋体"/>
                      <w:lang w:val="en-US" w:eastAsia="zh-CN"/>
                    </w:rPr>
                    <w:t>按照操作规程执行</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rPr>
                <w:u w:val="single"/>
              </w:rPr>
            </w:pPr>
            <w:r>
              <w:rPr>
                <w:rFonts w:hint="eastAsia"/>
              </w:rPr>
              <w:t>主要生产设备有：</w:t>
            </w:r>
            <w:r>
              <w:rPr>
                <w:rFonts w:hint="eastAsia"/>
                <w:u w:val="single"/>
                <w:lang w:val="en-US" w:eastAsia="zh-CN"/>
              </w:rPr>
              <w:t>计算机、压力表测量、</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见质量体系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无编号</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577"/>
        <w:gridCol w:w="95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577" w:type="dxa"/>
            <w:shd w:val="clear" w:color="auto" w:fill="F2DCDC" w:themeFill="accent2" w:themeFillTint="32"/>
            <w:vAlign w:val="center"/>
          </w:tcPr>
          <w:p>
            <w:pPr>
              <w:rPr>
                <w:lang w:eastAsia="ja-JP"/>
              </w:rPr>
            </w:pPr>
            <w:r>
              <w:rPr>
                <w:rFonts w:hint="eastAsia"/>
              </w:rPr>
              <w:t>5.4</w:t>
            </w:r>
          </w:p>
        </w:tc>
        <w:tc>
          <w:tcPr>
            <w:tcW w:w="959"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577"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959"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577" w:type="dxa"/>
            <w:shd w:val="clear" w:color="auto" w:fill="F2DCDC" w:themeFill="accent2" w:themeFillTint="32"/>
            <w:vAlign w:val="center"/>
          </w:tcPr>
          <w:p>
            <w:pPr>
              <w:rPr>
                <w:lang w:eastAsia="ja-JP"/>
              </w:rPr>
            </w:pPr>
          </w:p>
        </w:tc>
        <w:tc>
          <w:tcPr>
            <w:tcW w:w="959" w:type="dxa"/>
            <w:shd w:val="clear" w:color="auto" w:fill="F2DCDC" w:themeFill="accent2" w:themeFillTint="32"/>
            <w:vAlign w:val="center"/>
          </w:tcPr>
          <w:p>
            <w:pPr>
              <w:rPr>
                <w:rFonts w:hint="default" w:eastAsia="宋体"/>
                <w:lang w:val="en-US" w:eastAsia="zh-CN"/>
              </w:rPr>
            </w:pPr>
            <w:r>
              <w:rPr>
                <w:rFonts w:hint="eastAsia"/>
                <w:lang w:val="en-US" w:eastAsia="zh-CN"/>
              </w:rPr>
              <w:t>1(6.1.3)</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577" w:type="dxa"/>
            <w:shd w:val="clear" w:color="auto" w:fill="F2DCDC" w:themeFill="accent2" w:themeFillTint="32"/>
            <w:vAlign w:val="center"/>
          </w:tcPr>
          <w:p>
            <w:pPr>
              <w:rPr>
                <w:lang w:eastAsia="ja-JP"/>
              </w:rPr>
            </w:pPr>
            <w:r>
              <w:rPr>
                <w:rFonts w:hint="eastAsia"/>
              </w:rPr>
              <w:t>9.1</w:t>
            </w:r>
          </w:p>
        </w:tc>
        <w:tc>
          <w:tcPr>
            <w:tcW w:w="959"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577"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95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577" w:type="dxa"/>
            <w:tcBorders>
              <w:bottom w:val="single" w:color="auto" w:sz="4" w:space="0"/>
            </w:tcBorders>
            <w:shd w:val="clear" w:color="auto" w:fill="F2DCDC" w:themeFill="accent2" w:themeFillTint="32"/>
            <w:vAlign w:val="center"/>
          </w:tcPr>
          <w:p>
            <w:pPr>
              <w:rPr>
                <w:lang w:eastAsia="ja-JP"/>
              </w:rPr>
            </w:pPr>
          </w:p>
        </w:tc>
        <w:tc>
          <w:tcPr>
            <w:tcW w:w="959"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577" w:type="dxa"/>
            <w:shd w:val="clear" w:color="auto" w:fill="F2DCDC" w:themeFill="accent2" w:themeFillTint="32"/>
            <w:vAlign w:val="center"/>
          </w:tcPr>
          <w:p>
            <w:pPr>
              <w:rPr>
                <w:lang w:eastAsia="ja-JP"/>
              </w:rPr>
            </w:pPr>
          </w:p>
        </w:tc>
        <w:tc>
          <w:tcPr>
            <w:tcW w:w="959"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577" w:type="dxa"/>
            <w:shd w:val="clear" w:color="auto" w:fill="F2DCDC" w:themeFill="accent2" w:themeFillTint="32"/>
            <w:vAlign w:val="center"/>
          </w:tcPr>
          <w:p>
            <w:pPr>
              <w:rPr>
                <w:lang w:eastAsia="ja-JP"/>
              </w:rPr>
            </w:pPr>
          </w:p>
        </w:tc>
        <w:tc>
          <w:tcPr>
            <w:tcW w:w="959"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577" w:type="dxa"/>
            <w:shd w:val="clear" w:color="auto" w:fill="F2DCDC" w:themeFill="accent2" w:themeFillTint="32"/>
            <w:vAlign w:val="center"/>
          </w:tcPr>
          <w:p>
            <w:pPr>
              <w:rPr>
                <w:lang w:eastAsia="ja-JP"/>
              </w:rPr>
            </w:pPr>
          </w:p>
        </w:tc>
        <w:tc>
          <w:tcPr>
            <w:tcW w:w="959"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27B13"/>
    <w:rsid w:val="09BB0D8A"/>
    <w:rsid w:val="24167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7</TotalTime>
  <ScaleCrop>false</ScaleCrop>
  <LinksUpToDate>false</LinksUpToDate>
  <CharactersWithSpaces>21158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2021-09-13T15:26:47Z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