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华润雪花啤酒(四川)有限责任公司成都分公司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Cs w:val="44"/>
              </w:rPr>
              <w:t>0553-2019-EO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t>郝东霞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手机"/>
            <w:r>
              <w:t>17313723202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</w:t>
            </w:r>
            <w:r>
              <w:rPr>
                <w:rFonts w:hint="eastAsia" w:ascii="宋体" w:hAnsi="宋体"/>
                <w:szCs w:val="21"/>
              </w:rPr>
              <w:t>雪花啤酒的生产（限许可范围内）所涉及的相关环境管理活动</w:t>
            </w:r>
          </w:p>
          <w:p>
            <w:r>
              <w:t>O：</w:t>
            </w:r>
            <w:bookmarkEnd w:id="10"/>
            <w:r>
              <w:rPr>
                <w:rFonts w:hint="eastAsia" w:ascii="宋体" w:hAnsi="宋体"/>
                <w:szCs w:val="21"/>
              </w:rPr>
              <w:t>雪花啤酒的生产（限许可范围内）所涉及的相关职业健康安全管理活动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 上午至2019年11月1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19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继续昨天下午的审核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1465F"/>
    <w:rsid w:val="206368DA"/>
    <w:rsid w:val="21F238DD"/>
    <w:rsid w:val="3299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2019-12-02T07:51:01Z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