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四川省射洪星升电子有限责任公司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0926-2021-Q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lang w:val="en-US" w:eastAsia="zh-CN"/>
              </w:rPr>
            </w:pPr>
            <w:r>
              <w:rPr>
                <w:rFonts w:hint="eastAsia"/>
                <w:sz w:val="22"/>
                <w:szCs w:val="22"/>
                <w:lang w:val="en-US" w:eastAsia="zh-CN"/>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ascii="宋体" w:hAnsi="宋体" w:cs="宋体"/>
                <w:color w:val="000000"/>
                <w:kern w:val="0"/>
                <w:szCs w:val="21"/>
              </w:rPr>
              <w:t>2021年08月30日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2021年08月31日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15" w:name="_GoBack"/>
            <w:r>
              <w:rPr>
                <w:rFonts w:hint="eastAsia"/>
                <w:b/>
                <w:sz w:val="22"/>
                <w:szCs w:val="22"/>
              </w:rPr>
              <w:t>日期</w:t>
            </w:r>
            <w:r>
              <w:rPr>
                <w:rFonts w:hint="eastAsia"/>
                <w:sz w:val="20"/>
              </w:rPr>
              <w:t>：</w:t>
            </w:r>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DE7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2021-08-30T05:04:58Z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