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0928-2021-Q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保定市广维电气有限公司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2021年08月30日 上午至2021年08月30日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19.09.01,19.09.02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保定市广维电气有限公司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保定市恒滨路 89号智博园2-307室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r>
              <w:rPr>
                <w:rFonts w:ascii="宋体"/>
                <w:b/>
                <w:color w:val="000000"/>
                <w:szCs w:val="21"/>
              </w:rPr>
              <w:t>保定市富昌乡小汲店工业园</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071000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张雷</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15931271939</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赵晓阁</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张雷</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t>变压器冷却控制系统、中性点接地系统、电压互感器柜的制造（3C许可范围内除外）及销售</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变压器冷却控制系统、中性点接地系统、电压互感器柜的制造（3C许可范围内除外）及销售</w:t>
            </w:r>
          </w:p>
          <w:p>
            <w:pPr>
              <w:tabs>
                <w:tab w:val="left" w:pos="360"/>
              </w:tabs>
              <w:ind w:left="360" w:hanging="360"/>
              <w:rPr>
                <w:rFonts w:ascii="宋体" w:hAns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rPr>
            </w:pPr>
            <w:r>
              <w:rPr>
                <w:rFonts w:hint="eastAsia"/>
                <w:lang w:val="en-US" w:eastAsia="zh-CN"/>
              </w:rPr>
              <w:t>生产流程：</w:t>
            </w:r>
            <w:r>
              <w:rPr>
                <w:rFonts w:hint="eastAsia"/>
              </w:rPr>
              <w:t>原材料采购（含机柜、电路板焊接等）→原材料检验→元件组装→一次接线→二次接线→调试检验→入库</w:t>
            </w:r>
          </w:p>
          <w:p>
            <w:pPr>
              <w:spacing w:line="276" w:lineRule="auto"/>
              <w:rPr>
                <w:rFonts w:hint="eastAsia" w:ascii="宋体" w:hAnsi="宋体" w:cs="宋体"/>
                <w:bCs/>
                <w:kern w:val="0"/>
                <w:szCs w:val="21"/>
              </w:rPr>
            </w:pPr>
            <w:r>
              <w:rPr>
                <w:rFonts w:hint="eastAsia" w:ascii="宋体" w:hAnsi="宋体" w:cs="宋体"/>
                <w:bCs/>
                <w:kern w:val="0"/>
                <w:szCs w:val="21"/>
                <w:lang w:val="en-US" w:eastAsia="zh-CN"/>
              </w:rPr>
              <w:t>销售流程：</w:t>
            </w:r>
            <w:r>
              <w:rPr>
                <w:rFonts w:hint="eastAsia" w:ascii="宋体" w:hAnsi="宋体" w:cs="宋体"/>
                <w:bCs/>
                <w:kern w:val="0"/>
                <w:szCs w:val="21"/>
              </w:rPr>
              <w:t xml:space="preserve">确定顾客需求—业务洽谈—服务要求评审—签订合同—组织货源—产品交付—结算—顾客满意度调查。 </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变压器冷却控制系统、中性点接地系统、电压互感器柜的制造（3C许可范围内除外）及销售</w:t>
            </w:r>
          </w:p>
        </w:tc>
        <w:tc>
          <w:tcPr>
            <w:tcW w:w="2006" w:type="dxa"/>
            <w:gridSpan w:val="3"/>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19.09.01,19.09.02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26"/>
        <w:gridCol w:w="1967"/>
        <w:gridCol w:w="522"/>
        <w:gridCol w:w="2167"/>
        <w:gridCol w:w="2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2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2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67"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09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26" w:type="dxa"/>
          </w:tcPr>
          <w:p>
            <w:pPr>
              <w:spacing w:before="40" w:after="40"/>
              <w:rPr>
                <w:rFonts w:hint="default" w:eastAsia="宋体"/>
                <w:szCs w:val="21"/>
                <w:lang w:val="en-US" w:eastAsia="zh-CN"/>
              </w:rPr>
            </w:pPr>
            <w:r>
              <w:rPr>
                <w:rFonts w:ascii="宋体"/>
                <w:b/>
                <w:color w:val="000000"/>
                <w:szCs w:val="21"/>
              </w:rPr>
              <w:t>保定市广维电气有限公司</w:t>
            </w:r>
            <w:r>
              <w:rPr>
                <w:rFonts w:hint="eastAsia" w:ascii="宋体"/>
                <w:b/>
                <w:color w:val="000000"/>
                <w:szCs w:val="21"/>
                <w:lang w:val="en-US" w:eastAsia="zh-CN"/>
              </w:rPr>
              <w:t xml:space="preserve">  </w:t>
            </w:r>
            <w:r>
              <w:rPr>
                <w:rFonts w:ascii="宋体"/>
                <w:b/>
                <w:color w:val="000000"/>
                <w:szCs w:val="21"/>
              </w:rPr>
              <w:t>保定市恒滨路 89号智博园2-307室</w:t>
            </w:r>
          </w:p>
        </w:tc>
        <w:tc>
          <w:tcPr>
            <w:tcW w:w="1967" w:type="dxa"/>
          </w:tcPr>
          <w:p>
            <w:pPr>
              <w:spacing w:before="40" w:after="40"/>
              <w:rPr>
                <w:rFonts w:hint="default" w:eastAsia="宋体"/>
                <w:szCs w:val="21"/>
                <w:lang w:val="en-US" w:eastAsia="zh-CN"/>
              </w:rPr>
            </w:pPr>
            <w:r>
              <w:rPr>
                <w:rFonts w:hint="eastAsia" w:ascii="宋体"/>
                <w:b/>
                <w:color w:val="000000"/>
                <w:szCs w:val="21"/>
                <w:lang w:val="en-US" w:eastAsia="zh-CN"/>
              </w:rPr>
              <w:t>保定市富昌乡小汲店工业园</w:t>
            </w:r>
          </w:p>
        </w:tc>
        <w:tc>
          <w:tcPr>
            <w:tcW w:w="522" w:type="dxa"/>
            <w:vAlign w:val="center"/>
          </w:tcPr>
          <w:p>
            <w:pPr>
              <w:spacing w:before="40" w:after="40"/>
              <w:rPr>
                <w:rFonts w:hint="default" w:eastAsia="黑体"/>
                <w:szCs w:val="21"/>
                <w:lang w:val="en-US" w:eastAsia="zh-CN"/>
              </w:rPr>
            </w:pPr>
            <w:r>
              <w:rPr>
                <w:rFonts w:hint="eastAsia" w:eastAsia="黑体"/>
                <w:color w:val="FF0000"/>
                <w:szCs w:val="21"/>
                <w:lang w:val="en-US" w:eastAsia="zh-CN"/>
              </w:rPr>
              <w:t>20</w:t>
            </w:r>
          </w:p>
        </w:tc>
        <w:tc>
          <w:tcPr>
            <w:tcW w:w="2167" w:type="dxa"/>
            <w:vAlign w:val="center"/>
          </w:tcPr>
          <w:p>
            <w:pPr>
              <w:pStyle w:val="19"/>
              <w:jc w:val="both"/>
              <w:rPr>
                <w:rFonts w:eastAsia="黑体" w:cs="Arial"/>
                <w:sz w:val="21"/>
                <w:szCs w:val="21"/>
                <w:lang w:val="en-US" w:eastAsia="ja-JP"/>
              </w:rPr>
            </w:pPr>
            <w:r>
              <w:rPr>
                <w:rFonts w:hint="eastAsia" w:ascii="宋体" w:hAnsi="Times New Roman" w:eastAsia="宋体" w:cs="Times New Roman"/>
                <w:b/>
                <w:color w:val="000000"/>
                <w:kern w:val="2"/>
                <w:sz w:val="21"/>
                <w:szCs w:val="21"/>
                <w:lang w:val="en-US" w:eastAsia="zh-CN" w:bidi="ar-SA"/>
              </w:rPr>
              <w:t>变压器冷却控制系统、中性点接地系统、电压互感器柜的制造（3C许可范围内除外）及销售</w:t>
            </w:r>
          </w:p>
        </w:tc>
        <w:tc>
          <w:tcPr>
            <w:tcW w:w="2095" w:type="dxa"/>
            <w:vAlign w:val="center"/>
          </w:tcPr>
          <w:p>
            <w:pPr>
              <w:spacing w:before="40" w:after="40"/>
              <w:rPr>
                <w:rFonts w:hint="eastAsia" w:ascii="宋体" w:hAnsi="宋体"/>
                <w:b/>
                <w:color w:val="FF0000"/>
                <w:szCs w:val="21"/>
              </w:rPr>
            </w:pPr>
            <w:r>
              <w:rPr>
                <w:rFonts w:hint="eastAsia" w:ascii="宋体" w:hAnsi="宋体"/>
                <w:b/>
                <w:color w:val="FF0000"/>
                <w:szCs w:val="21"/>
                <w:lang w:val="de-DE"/>
              </w:rPr>
              <w:t>GB/T19001-2016</w:t>
            </w:r>
            <w:r>
              <w:rPr>
                <w:rFonts w:hint="eastAsia" w:ascii="宋体" w:hAnsi="宋体"/>
                <w:b/>
                <w:color w:val="FF0000"/>
                <w:szCs w:val="21"/>
              </w:rPr>
              <w:t xml:space="preserve"> </w:t>
            </w:r>
          </w:p>
          <w:p>
            <w:pPr>
              <w:spacing w:before="40" w:after="40"/>
              <w:rPr>
                <w:rFonts w:hint="eastAsia" w:ascii="宋体" w:hAnsi="宋体"/>
                <w:b/>
                <w:color w:val="FF0000"/>
                <w:szCs w:val="21"/>
                <w:lang w:eastAsia="ja-JP"/>
              </w:rPr>
            </w:pPr>
          </w:p>
          <w:p>
            <w:pPr>
              <w:spacing w:before="40" w:after="40"/>
              <w:rPr>
                <w:rFonts w:hint="eastAsia" w:ascii="宋体" w:hAnsi="宋体"/>
                <w:b/>
                <w:color w:val="FF0000"/>
                <w:szCs w:val="21"/>
                <w:lang w:eastAsia="ja-JP"/>
              </w:rPr>
            </w:pPr>
            <w:r>
              <w:rPr>
                <w:rFonts w:hint="eastAsia" w:ascii="宋体" w:hAnsi="宋体"/>
                <w:b/>
                <w:color w:val="FF0000"/>
                <w:szCs w:val="21"/>
                <w:lang w:eastAsia="ja-JP"/>
              </w:rPr>
              <w:t xml:space="preserve">受审核方管理体系成文信息            </w:t>
            </w:r>
          </w:p>
          <w:p>
            <w:pPr>
              <w:spacing w:before="40" w:after="40"/>
              <w:rPr>
                <w:rFonts w:hint="eastAsia" w:ascii="宋体" w:hAnsi="宋体"/>
                <w:b/>
                <w:color w:val="FF0000"/>
                <w:szCs w:val="21"/>
                <w:lang w:eastAsia="ja-JP"/>
              </w:rPr>
            </w:pPr>
            <w:r>
              <w:rPr>
                <w:rFonts w:hint="eastAsia" w:ascii="宋体" w:hAnsi="宋体"/>
                <w:b/>
                <w:color w:val="FF0000"/>
                <w:szCs w:val="21"/>
                <w:lang w:eastAsia="ja-JP"/>
              </w:rPr>
              <w:t xml:space="preserve"> 顾客要求</w:t>
            </w:r>
          </w:p>
          <w:p>
            <w:pPr>
              <w:spacing w:before="40" w:after="40"/>
              <w:rPr>
                <w:rFonts w:hint="eastAsia" w:ascii="宋体" w:hAnsi="宋体"/>
                <w:b/>
                <w:color w:val="FF0000"/>
                <w:szCs w:val="21"/>
                <w:lang w:eastAsia="ja-JP"/>
              </w:rPr>
            </w:pPr>
            <w:r>
              <w:rPr>
                <w:rFonts w:hint="eastAsia" w:ascii="宋体" w:hAnsi="宋体"/>
                <w:b/>
                <w:color w:val="FF0000"/>
                <w:szCs w:val="21"/>
                <w:lang w:eastAsia="ja-JP"/>
              </w:rPr>
              <w:t xml:space="preserve">适用于受审核方的法律法规及其他要求    </w:t>
            </w:r>
          </w:p>
          <w:p>
            <w:pPr>
              <w:spacing w:before="40" w:after="40"/>
              <w:rPr>
                <w:rFonts w:hint="eastAsia" w:ascii="宋体" w:hAnsi="宋体"/>
                <w:b/>
                <w:color w:val="FF0000"/>
                <w:szCs w:val="21"/>
                <w:lang w:eastAsia="ja-JP"/>
              </w:rPr>
            </w:pPr>
          </w:p>
        </w:tc>
        <w:tc>
          <w:tcPr>
            <w:tcW w:w="668" w:type="dxa"/>
            <w:shd w:val="clear" w:color="auto" w:fill="FFFFFF"/>
          </w:tcPr>
          <w:p>
            <w:pPr>
              <w:rPr>
                <w:rFonts w:eastAsia="黑体"/>
                <w:szCs w:val="21"/>
              </w:rPr>
            </w:pPr>
            <w:bookmarkStart w:id="35" w:name="_GoBack"/>
            <w:bookmarkEnd w:id="35"/>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26" w:type="dxa"/>
            <w:vAlign w:val="center"/>
          </w:tcPr>
          <w:p>
            <w:pPr>
              <w:spacing w:before="40" w:after="40"/>
              <w:rPr>
                <w:rFonts w:eastAsia="黑体"/>
                <w:szCs w:val="21"/>
                <w:lang w:eastAsia="ja-JP"/>
              </w:rPr>
            </w:pPr>
          </w:p>
        </w:tc>
        <w:tc>
          <w:tcPr>
            <w:tcW w:w="1967" w:type="dxa"/>
            <w:vAlign w:val="center"/>
          </w:tcPr>
          <w:p>
            <w:pPr>
              <w:spacing w:before="40" w:after="40"/>
              <w:rPr>
                <w:rFonts w:eastAsia="黑体"/>
                <w:szCs w:val="21"/>
                <w:lang w:eastAsia="ja-JP"/>
              </w:rPr>
            </w:pPr>
          </w:p>
        </w:tc>
        <w:tc>
          <w:tcPr>
            <w:tcW w:w="522" w:type="dxa"/>
            <w:vAlign w:val="center"/>
          </w:tcPr>
          <w:p>
            <w:pPr>
              <w:spacing w:before="40" w:after="40"/>
              <w:rPr>
                <w:rFonts w:eastAsia="黑体"/>
                <w:szCs w:val="21"/>
                <w:lang w:eastAsia="ja-JP"/>
              </w:rPr>
            </w:pPr>
          </w:p>
        </w:tc>
        <w:tc>
          <w:tcPr>
            <w:tcW w:w="2167" w:type="dxa"/>
            <w:vAlign w:val="center"/>
          </w:tcPr>
          <w:p>
            <w:pPr>
              <w:spacing w:before="40" w:after="40"/>
              <w:rPr>
                <w:rFonts w:eastAsia="黑体"/>
                <w:szCs w:val="21"/>
                <w:lang w:eastAsia="ja-JP"/>
              </w:rPr>
            </w:pPr>
          </w:p>
        </w:tc>
        <w:tc>
          <w:tcPr>
            <w:tcW w:w="2095"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24"/>
                <w:szCs w:val="24"/>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5-6</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8  月 18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r>
              <w:rPr>
                <w:rFonts w:hint="eastAsia" w:ascii="宋体"/>
                <w:b/>
                <w:color w:val="000000"/>
                <w:szCs w:val="21"/>
                <w:u w:val="single"/>
              </w:rPr>
              <w:t>2021-08-</w:t>
            </w:r>
            <w:r>
              <w:rPr>
                <w:rFonts w:hint="eastAsia" w:ascii="宋体"/>
                <w:b/>
                <w:color w:val="000000"/>
                <w:szCs w:val="21"/>
                <w:u w:val="single"/>
                <w:lang w:val="en-US" w:eastAsia="zh-CN"/>
              </w:rPr>
              <w:t>31至2021-9-2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4" name="图片 4"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2021.8.30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D6011F"/>
    <w:rsid w:val="24EC0E5B"/>
    <w:rsid w:val="2B920869"/>
    <w:rsid w:val="2F594BB6"/>
    <w:rsid w:val="331966BB"/>
    <w:rsid w:val="37CE269F"/>
    <w:rsid w:val="3F9470D9"/>
    <w:rsid w:val="55B13D71"/>
    <w:rsid w:val="58B31500"/>
    <w:rsid w:val="5F2D06BA"/>
    <w:rsid w:val="6DAF32B1"/>
    <w:rsid w:val="7CCD3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2</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2021-09-09T02:43:49Z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