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纸张白度测量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≥</w:t>
            </w:r>
            <w:r>
              <w:rPr>
                <w:rFonts w:hint="eastAsia"/>
              </w:rPr>
              <w:t>87%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宋体" w:eastAsia="宋体" w:cs="宋体"/>
                <w:szCs w:val="21"/>
              </w:rPr>
              <w:t>白度仪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Cs/>
                <w:szCs w:val="21"/>
              </w:rPr>
              <w:t>0-100</w:t>
            </w:r>
            <w:r>
              <w:rPr>
                <w:rFonts w:hint="eastAsia" w:ascii="Calibri" w:hAnsi="Calibri" w:eastAsia="宋体" w:cs="Times New Roman"/>
                <w:bCs/>
                <w:szCs w:val="21"/>
              </w:rPr>
              <w:t>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±</w:t>
            </w:r>
            <w:r>
              <w:rPr>
                <w:rFonts w:hint="eastAsia" w:ascii="Calibri" w:hAnsi="Calibri" w:eastAsia="宋体" w:cs="Times New Roman"/>
                <w:szCs w:val="21"/>
              </w:rPr>
              <w:t>0.5%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分辨率0.01%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波长为457nm±0.5 nm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度测量过程控制规范</w:t>
            </w:r>
            <w:r>
              <w:rPr>
                <w:rFonts w:hint="eastAsia" w:ascii="Times New Roman" w:hAnsi="Times New Roman" w:eastAsia="宋体" w:cs="Times New Roman"/>
              </w:rPr>
              <w:t>》JF/Me/CX10.03-2020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Calibri" w:hAnsi="宋体" w:eastAsia="宋体" w:cs="宋体"/>
                <w:szCs w:val="21"/>
              </w:rPr>
              <w:t>仪</w:t>
            </w:r>
            <w:r>
              <w:rPr>
                <w:rFonts w:hint="eastAsia" w:ascii="宋体" w:hAnsi="宋体" w:eastAsia="宋体" w:cs="Times New Roman"/>
                <w:szCs w:val="21"/>
              </w:rPr>
              <w:t>的操作规程》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Calibri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</w:rPr>
              <w:t>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度：（23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±1）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℃、湿度：（</w:t>
            </w:r>
            <w:r>
              <w:rPr>
                <w:rFonts w:hint="eastAsia" w:ascii="黑体" w:hAnsi="宋体" w:eastAsia="黑体" w:cs="Times New Roman"/>
                <w:color w:val="000000"/>
                <w:szCs w:val="21"/>
              </w:rPr>
              <w:t>50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±2）RH%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张桂林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经培训合格上岗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度测量过程监视统计表</w:t>
            </w:r>
            <w:r>
              <w:rPr>
                <w:rFonts w:hint="eastAsia" w:ascii="Times New Roman" w:hAnsi="Times New Roman" w:eastAsia="宋体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见《</w:t>
            </w:r>
            <w:r>
              <w:rPr>
                <w:rFonts w:hint="eastAsia" w:ascii="宋体" w:hAnsi="宋体" w:eastAsia="宋体" w:cs="Times New Roman"/>
                <w:szCs w:val="21"/>
              </w:rPr>
              <w:t>纸张白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1"/>
              </w:rPr>
              <w:t>度</w:t>
            </w:r>
            <w:r>
              <w:rPr>
                <w:rFonts w:hint="eastAsia" w:ascii="Times New Roman" w:hAnsi="Times New Roman" w:eastAsia="宋体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</w:instrText>
            </w:r>
            <w:r>
              <w:rPr>
                <w:rFonts w:hint="eastAsia" w:ascii="宋体" w:hAnsi="Times New Roman" w:cs="Times New Roman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3810</wp:posOffset>
            </wp:positionV>
            <wp:extent cx="1062355" cy="379095"/>
            <wp:effectExtent l="0" t="0" r="4445" b="1905"/>
            <wp:wrapNone/>
            <wp:docPr id="6" name="图片 6" descr="c3a55f276f8759b5efa04ebaa5ea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a55f276f8759b5efa04ebaa5ea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72390</wp:posOffset>
            </wp:positionV>
            <wp:extent cx="624840" cy="335280"/>
            <wp:effectExtent l="0" t="0" r="3810" b="7620"/>
            <wp:wrapNone/>
            <wp:docPr id="2" name="图片 2" descr="f1dca2455e2b0e29463ee736bc5b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dca2455e2b0e29463ee736bc5b5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至9月24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6.25pt;margin-top:13.2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99.9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A61CF"/>
    <w:multiLevelType w:val="singleLevel"/>
    <w:tmpl w:val="F42A61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84A"/>
    <w:rsid w:val="000542DC"/>
    <w:rsid w:val="000A5D9A"/>
    <w:rsid w:val="00300D4B"/>
    <w:rsid w:val="00671AD0"/>
    <w:rsid w:val="008A75B1"/>
    <w:rsid w:val="00976119"/>
    <w:rsid w:val="009F5569"/>
    <w:rsid w:val="00B7084A"/>
    <w:rsid w:val="00D750BE"/>
    <w:rsid w:val="6B684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2021-09-24T06:25:22Z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