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b/>
                <w:spacing w:val="-2"/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0"/>
            <w:r>
              <w:rPr>
                <w:b/>
                <w:spacing w:val="-2"/>
                <w:sz w:val="21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"/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pacing w:val="-2"/>
                <w:sz w:val="21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2"/>
            <w:r>
              <w:rPr>
                <w:b/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pacing w:val="-2"/>
                <w:sz w:val="21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3"/>
            <w:r>
              <w:rPr>
                <w:b/>
                <w:spacing w:val="-2"/>
                <w:sz w:val="21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 w:val="21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/>
                <w:sz w:val="21"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sz w:val="21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sz w:val="21"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 w:val="21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sz w:val="21"/>
                <w:szCs w:val="21"/>
              </w:rPr>
              <w:t>河北永鑫体育用品有限公司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现场审核发现，公司识别的外包过程为产品运输，未提供对该外包方进行了评价并施加环境、职业健康安全方面影响的证据。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bookmarkStart w:id="1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687" w:firstLineChars="80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687" w:firstLineChars="800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ISO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45001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不符合性质：</w:t>
            </w:r>
            <w:r>
              <w:rPr>
                <w:rFonts w:ascii="宋体" w:hAnsi="宋体"/>
                <w:b/>
                <w:sz w:val="21"/>
                <w:szCs w:val="21"/>
              </w:rPr>
              <w:t>□</w:t>
            </w:r>
            <w:r>
              <w:rPr>
                <w:rFonts w:hAnsi="宋体"/>
                <w:b/>
                <w:sz w:val="21"/>
                <w:szCs w:val="21"/>
              </w:rPr>
              <w:t>严重</w:t>
            </w:r>
            <w:r>
              <w:rPr>
                <w:rFonts w:hint="eastAsia" w:hAnsi="宋体"/>
                <w:b/>
                <w:sz w:val="21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Ansi="宋体"/>
                <w:b/>
                <w:sz w:val="21"/>
                <w:szCs w:val="21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日  期： 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日  期：                </w:t>
            </w:r>
            <w:r>
              <w:rPr>
                <w:rFonts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9D4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108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2021-09-08T02:48:39Z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