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0906-2021-QEO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河北永鑫体育用品有限公司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河北永鑫体育用品有限公司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定州市庞村镇大西丈村</w:t>
            </w:r>
            <w:bookmarkEnd w:id="6"/>
          </w:p>
        </w:tc>
        <w:tc>
          <w:tcPr>
            <w:tcW w:w="1242" w:type="dxa"/>
            <w:vMerge w:val="restart"/>
            <w:vAlign w:val="center"/>
          </w:tcPr>
          <w:p>
            <w:r>
              <w:rPr>
                <w:rFonts w:hint="eastAsia"/>
              </w:rPr>
              <w:t>邮编</w:t>
            </w:r>
          </w:p>
        </w:tc>
        <w:tc>
          <w:tcPr>
            <w:tcW w:w="1771" w:type="dxa"/>
          </w:tcPr>
          <w:p>
            <w:bookmarkStart w:id="7" w:name="注册邮编"/>
            <w:r>
              <w:t>073000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定州市庞村镇大西丈村</w:t>
            </w:r>
            <w:bookmarkEnd w:id="8"/>
          </w:p>
        </w:tc>
        <w:tc>
          <w:tcPr>
            <w:tcW w:w="1242" w:type="dxa"/>
            <w:vMerge w:val="continue"/>
            <w:vAlign w:val="center"/>
          </w:tcPr>
          <w:p/>
        </w:tc>
        <w:tc>
          <w:tcPr>
            <w:tcW w:w="1771" w:type="dxa"/>
          </w:tcPr>
          <w:p>
            <w:bookmarkStart w:id="9" w:name="办公邮编"/>
            <w:r>
              <w:t>073000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王会永</w:t>
            </w:r>
            <w:bookmarkEnd w:id="10"/>
          </w:p>
        </w:tc>
        <w:tc>
          <w:tcPr>
            <w:tcW w:w="1313" w:type="dxa"/>
            <w:vAlign w:val="center"/>
          </w:tcPr>
          <w:p>
            <w:r>
              <w:rPr>
                <w:rFonts w:hint="eastAsia"/>
              </w:rPr>
              <w:t>电话.</w:t>
            </w:r>
          </w:p>
        </w:tc>
        <w:tc>
          <w:tcPr>
            <w:tcW w:w="2180" w:type="dxa"/>
            <w:vAlign w:val="center"/>
          </w:tcPr>
          <w:p>
            <w:bookmarkStart w:id="11" w:name="联系人电话"/>
            <w:r>
              <w:t>13833060244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王会永</w:t>
            </w:r>
            <w:bookmarkEnd w:id="13"/>
          </w:p>
        </w:tc>
        <w:tc>
          <w:tcPr>
            <w:tcW w:w="1313" w:type="dxa"/>
            <w:vAlign w:val="center"/>
          </w:tcPr>
          <w:p>
            <w:r>
              <w:rPr>
                <w:rFonts w:hint="eastAsia"/>
              </w:rPr>
              <w:t>管理者代表</w:t>
            </w:r>
          </w:p>
        </w:tc>
        <w:tc>
          <w:tcPr>
            <w:tcW w:w="2180" w:type="dxa"/>
          </w:tcPr>
          <w:p>
            <w:bookmarkStart w:id="14" w:name="管理者代表"/>
            <w:r>
              <w:t>王会永</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2021年09月11日 上午至2021年09月12日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9" w:name="生产地址"/>
            <w:r>
              <w:rPr>
                <w:sz w:val="21"/>
                <w:szCs w:val="21"/>
              </w:rPr>
              <w:t>定州市庞村镇大西丈村</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30" w:name="审核范围"/>
            <w:r>
              <w:rPr>
                <w:rFonts w:hint="eastAsia"/>
              </w:rPr>
              <w:t>Q：体育器材、健身器材、教学仪器、音乐器材、美术器材、塑胶跑道、学生课桌椅的销售</w:t>
            </w:r>
          </w:p>
          <w:p>
            <w:pPr>
              <w:rPr>
                <w:rFonts w:hint="eastAsia"/>
              </w:rPr>
            </w:pPr>
            <w:r>
              <w:rPr>
                <w:rFonts w:hint="eastAsia"/>
              </w:rPr>
              <w:t>E：体育器材、健身器材、教学仪器、音乐器材、美术器材、塑胶跑道、学生课桌椅的销售所涉及场所的相关环境管理活动</w:t>
            </w:r>
          </w:p>
          <w:p>
            <w:pPr>
              <w:rPr>
                <w:rFonts w:hint="eastAsia"/>
              </w:rPr>
            </w:pPr>
            <w:r>
              <w:rPr>
                <w:rFonts w:hint="eastAsia"/>
              </w:rPr>
              <w:t>O：体育器材、健身器材、教学仪器、音乐器材、美术器材、塑胶跑道、学生课桌椅的销售所涉及场所的相关职业健康安全管理活动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Q：29.12.00</w:t>
            </w:r>
          </w:p>
          <w:p>
            <w:r>
              <w:t>E：29.12.00</w:t>
            </w:r>
          </w:p>
          <w:p>
            <w:r>
              <w:t>O：29.12.00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 xml:space="preserve">月 </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44"/>
        <w:gridCol w:w="1482"/>
        <w:gridCol w:w="654"/>
        <w:gridCol w:w="2991"/>
        <w:gridCol w:w="19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544" w:type="dxa"/>
            <w:shd w:val="clear" w:color="auto" w:fill="F3F3F3"/>
            <w:tcMar>
              <w:left w:w="57" w:type="dxa"/>
              <w:right w:w="57" w:type="dxa"/>
            </w:tcMar>
          </w:tcPr>
          <w:p>
            <w:r>
              <w:rPr>
                <w:rFonts w:hint="eastAsia"/>
              </w:rPr>
              <w:t>组织名称及注册场所地址</w:t>
            </w:r>
          </w:p>
        </w:tc>
        <w:tc>
          <w:tcPr>
            <w:tcW w:w="1482" w:type="dxa"/>
            <w:shd w:val="clear" w:color="auto" w:fill="F3F3F3"/>
          </w:tcPr>
          <w:p>
            <w:r>
              <w:rPr>
                <w:rFonts w:hint="eastAsia"/>
              </w:rPr>
              <w:t>经营场所的地址</w:t>
            </w:r>
          </w:p>
        </w:tc>
        <w:tc>
          <w:tcPr>
            <w:tcW w:w="654" w:type="dxa"/>
            <w:shd w:val="clear" w:color="auto" w:fill="F3F3F3"/>
            <w:tcMar>
              <w:left w:w="57" w:type="dxa"/>
              <w:right w:w="57" w:type="dxa"/>
            </w:tcMar>
          </w:tcPr>
          <w:p>
            <w:r>
              <w:rPr>
                <w:rFonts w:hint="eastAsia"/>
              </w:rPr>
              <w:t>员工人数</w:t>
            </w:r>
          </w:p>
        </w:tc>
        <w:tc>
          <w:tcPr>
            <w:tcW w:w="2991" w:type="dxa"/>
            <w:shd w:val="clear" w:color="auto" w:fill="F3F3F3"/>
            <w:tcMar>
              <w:left w:w="57" w:type="dxa"/>
              <w:right w:w="57" w:type="dxa"/>
            </w:tcMar>
          </w:tcPr>
          <w:p>
            <w:r>
              <w:rPr>
                <w:rFonts w:hint="eastAsia"/>
              </w:rPr>
              <w:t>审核范围（产品和过程）</w:t>
            </w:r>
          </w:p>
        </w:tc>
        <w:tc>
          <w:tcPr>
            <w:tcW w:w="19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544"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定州市庞村镇大西丈村</w:t>
            </w:r>
          </w:p>
        </w:tc>
        <w:tc>
          <w:tcPr>
            <w:tcW w:w="1482"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定州市庞村镇大西丈村</w:t>
            </w:r>
          </w:p>
        </w:tc>
        <w:tc>
          <w:tcPr>
            <w:tcW w:w="654"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991" w:type="dxa"/>
            <w:vAlign w:val="center"/>
          </w:tcPr>
          <w:p>
            <w:pPr>
              <w:pStyle w:val="22"/>
              <w:rPr>
                <w:rFonts w:ascii="Times New Roman" w:hAnsi="Times New Roman" w:eastAsia="黑体" w:cs="Arial"/>
                <w:kern w:val="2"/>
                <w:sz w:val="21"/>
                <w:szCs w:val="21"/>
                <w:lang w:val="en-US" w:eastAsia="ja-JP" w:bidi="ar-SA"/>
              </w:rPr>
            </w:pPr>
            <w:r>
              <w:rPr>
                <w:sz w:val="21"/>
                <w:szCs w:val="21"/>
              </w:rPr>
              <w:t>体育器材、健身器材、教学仪器、音乐器材、美术器材、塑胶跑道、学生课桌椅的销售</w:t>
            </w:r>
          </w:p>
        </w:tc>
        <w:tc>
          <w:tcPr>
            <w:tcW w:w="1906"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组内</w:t>
            </w:r>
          </w:p>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身份</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性别</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审核员注册证书号</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吉洁</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组长</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女</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2019-N1QMS-3022240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2020-N1EMS-3022240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2020-N1OHSMS-3022240</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Q:29.12.00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E:29.12.00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张星</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组员</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女</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2020-N1QMS-1263722</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2020-N1EMS-1263722</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Q:29.12.00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作用</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性别</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工作单位</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default"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101600</wp:posOffset>
                  </wp:positionH>
                  <wp:positionV relativeFrom="paragraph">
                    <wp:posOffset>187960</wp:posOffset>
                  </wp:positionV>
                  <wp:extent cx="1054735" cy="5073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54735" cy="50736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2021年9月12日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color w:val="000000"/>
                <w:szCs w:val="18"/>
                <w:u w:val="single"/>
              </w:rPr>
              <w:t>把握市场靠质量</w:t>
            </w:r>
            <w:r>
              <w:rPr>
                <w:rFonts w:hint="eastAsia"/>
                <w:color w:val="000000"/>
                <w:szCs w:val="18"/>
                <w:u w:val="single"/>
                <w:lang w:eastAsia="zh-CN"/>
              </w:rPr>
              <w:t>、</w:t>
            </w:r>
            <w:r>
              <w:rPr>
                <w:rFonts w:hint="eastAsia"/>
                <w:color w:val="000000"/>
                <w:szCs w:val="18"/>
                <w:u w:val="single"/>
              </w:rPr>
              <w:t>客户满意靠真诚</w:t>
            </w:r>
            <w:r>
              <w:rPr>
                <w:rFonts w:hint="eastAsia"/>
                <w:color w:val="000000"/>
                <w:szCs w:val="18"/>
                <w:u w:val="single"/>
                <w:lang w:eastAsia="zh-CN"/>
              </w:rPr>
              <w:t>、</w:t>
            </w:r>
            <w:r>
              <w:rPr>
                <w:rFonts w:hint="eastAsia"/>
                <w:color w:val="000000"/>
                <w:szCs w:val="18"/>
                <w:u w:val="single"/>
              </w:rPr>
              <w:t>持续改进靠管理</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特别是进入2021年以来，钢材及纺织产品涨价幅度近100%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销售产品交付顾客验收合格率100%</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顾客满意度≥90%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600</w:t>
            </w:r>
            <w:r>
              <w:rPr>
                <w:rFonts w:hint="eastAsia"/>
              </w:rPr>
              <w:t>平方米；生产车间</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lang w:eastAsia="zh-CN"/>
              </w:rPr>
              <w:t>电话，电脑、打印机、复印机、空调、办公桌椅</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组织的</w:t>
            </w:r>
            <w:r>
              <w:t>监视和测量资源</w:t>
            </w:r>
            <w:r>
              <w:rPr>
                <w:rFonts w:hint="eastAsia"/>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C7DAF1" w:themeFill="text2" w:themeFillTint="32"/>
              <w:jc w:val="left"/>
            </w:pPr>
            <w:r>
              <w:rPr>
                <w:rFonts w:hint="eastAsia"/>
                <w:lang w:val="en-US" w:eastAsia="zh-CN"/>
              </w:rPr>
              <w:t>未</w:t>
            </w:r>
            <w:r>
              <w:rPr>
                <w:rFonts w:hint="eastAsia"/>
              </w:rPr>
              <w:t>提供</w:t>
            </w:r>
            <w:r>
              <w:rPr>
                <w:rFonts w:hint="eastAsia"/>
                <w:lang w:val="en-US" w:eastAsia="zh-CN"/>
              </w:rPr>
              <w:t>对</w:t>
            </w:r>
            <w:r>
              <w:rPr>
                <w:rFonts w:hint="eastAsia"/>
              </w:rPr>
              <w:t>外部供方</w:t>
            </w:r>
            <w:r>
              <w:rPr>
                <w:rFonts w:hint="eastAsia"/>
                <w:lang w:val="en-US" w:eastAsia="zh-CN"/>
              </w:rPr>
              <w:t>实施了评审的证据</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5-6</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15</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ascii="Times New Roman" w:hAnsi="Times New Roman" w:eastAsia="宋体" w:cs="Times New Roman"/>
                <w:u w:val="single"/>
                <w:lang w:val="en-GB"/>
              </w:rPr>
              <w:t>遵守法律法规；节能降耗减排</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u w:val="single"/>
                <w:lang w:val="en-GB"/>
              </w:rPr>
              <w:t>增强环保意识；实现持续发展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ascii="Times New Roman" w:hAnsi="Times New Roman" w:eastAsia="宋体" w:cs="Times New Roman"/>
              </w:rPr>
            </w:pPr>
            <w:r>
              <w:rPr>
                <w:rFonts w:hint="eastAsia"/>
              </w:rPr>
              <w:t>环境总目标：</w:t>
            </w:r>
            <w:r>
              <w:rPr>
                <w:rFonts w:hint="eastAsia" w:ascii="Times New Roman" w:hAnsi="Times New Roman" w:eastAsia="宋体" w:cs="Times New Roman"/>
              </w:rPr>
              <w:t>不发生重大环境事故。</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lang w:eastAsia="zh-CN"/>
              </w:rPr>
              <w:t>电话，电脑、打印机、复印机、空调、办公桌椅</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产品运输</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未提供对其施加影响的证据。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运输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运输</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2</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5-6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15</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szCs w:val="22"/>
                <w:u w:val="single"/>
              </w:rPr>
              <w:t>坚持产品质量第一，确保增进顾客满意；坚持遵守法律法规，实现环保安全目标；规范企业经营管理，持续改进管理体系</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ascii="Times New Roman" w:hAnsi="Times New Roman" w:eastAsia="宋体" w:cs="Times New Roman"/>
                <w:sz w:val="21"/>
                <w:szCs w:val="21"/>
                <w:lang w:val="en-US" w:eastAsia="zh-CN"/>
              </w:rPr>
              <w:t>黄琦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p>
          <w:p>
            <w:pPr>
              <w:rPr>
                <w:rFonts w:hint="eastAsia" w:ascii="Times New Roman" w:hAnsi="Times New Roman" w:eastAsia="宋体" w:cs="Times New Roman"/>
              </w:rPr>
            </w:pPr>
            <w:r>
              <w:rPr>
                <w:rFonts w:hint="eastAsia" w:ascii="Times New Roman" w:hAnsi="Times New Roman" w:eastAsia="宋体" w:cs="Times New Roman"/>
              </w:rPr>
              <w:t>不发生职业健康安全事件；</w:t>
            </w:r>
          </w:p>
          <w:p>
            <w:pPr>
              <w:rPr>
                <w:rFonts w:hint="eastAsia" w:ascii="Times New Roman" w:hAnsi="Times New Roman" w:eastAsia="宋体" w:cs="Times New Roman"/>
                <w:lang w:eastAsia="zh-CN"/>
              </w:rPr>
            </w:pPr>
            <w:r>
              <w:rPr>
                <w:rFonts w:hint="eastAsia" w:ascii="Times New Roman" w:hAnsi="Times New Roman" w:eastAsia="宋体" w:cs="Times New Roman"/>
              </w:rPr>
              <w:t>不发生职业病</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0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Times New Roman" w:hAnsi="Times New Roman" w:eastAsia="宋体" w:cs="Times New Roman"/>
                <w:sz w:val="21"/>
                <w:szCs w:val="21"/>
                <w:lang w:eastAsia="zh-CN"/>
              </w:rPr>
              <w:t>电话，电脑、打印机、复印机、空调、办公桌椅</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产品运输</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6</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8</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2021年7月5-6日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15</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bookmarkStart w:id="35" w:name="_GoBack"/>
            <w:bookmarkEnd w:id="35"/>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504A21"/>
    <w:rsid w:val="79FA5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7</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2021-09-14T02:46:26Z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