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河北永鑫体育用品有限公司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定州市庞村镇大西丈村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定州市庞村镇大西丈村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sz w:val="21"/>
                <w:szCs w:val="21"/>
              </w:rPr>
              <w:t>王会永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手机"/>
            <w:r>
              <w:rPr>
                <w:b w:val="0"/>
                <w:bCs w:val="0"/>
                <w:sz w:val="21"/>
                <w:szCs w:val="21"/>
              </w:rPr>
              <w:t>13833060244</w:t>
            </w:r>
            <w:bookmarkEnd w:id="5"/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602925806@qq.com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b w:val="0"/>
                <w:bCs w:val="0"/>
                <w:sz w:val="21"/>
                <w:szCs w:val="21"/>
              </w:rPr>
              <w:t>王会永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管代电话"/>
            <w:bookmarkEnd w:id="8"/>
          </w:p>
        </w:tc>
        <w:tc>
          <w:tcPr>
            <w:tcW w:w="974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合同编号"/>
            <w:r>
              <w:rPr>
                <w:b w:val="0"/>
                <w:bCs w:val="0"/>
                <w:sz w:val="21"/>
                <w:szCs w:val="21"/>
              </w:rPr>
              <w:t>0906-2021-QEO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11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2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2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Q：体育器材、健身器材、教学仪器、音乐器材、美术器材、塑胶跑道、学生课桌椅的销售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E：体育器材、健身器材、教学仪器、音乐器材、美术器材、塑胶跑道、学生课桌椅的销售所涉及场所的相关环境管理活动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O：体育器材、健身器材、教学仪器、音乐器材、美术器材、塑胶跑道、学生课桌椅的销售所涉及场所的相关职业健康安全管理活动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GB/T45001-2020/ISO45001：2020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2021年09月11日 上午至2021年09月12日 下午</w:t>
            </w:r>
            <w:bookmarkEnd w:id="25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6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6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O:29.12.00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张星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2020-N1QMS-1263722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E:29.12.00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13731692448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2021.8.25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2021.9.11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</w:t>
            </w:r>
            <w:r>
              <w:rPr>
                <w:rFonts w:hint="eastAsia"/>
                <w:color w:val="auto"/>
                <w:sz w:val="21"/>
                <w:szCs w:val="21"/>
              </w:rPr>
              <w:t>组织的岗位、职责权限；资源作用职责责任权限；目标、指标管理方案；环境因素/危险源识别评价；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Q7.1.2/7.1.6/7.2/7.3/7.4/7.5/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7.2/7.3/7.4/7.5/8.1/8.2/9.1/9.2/10.2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2021.9.12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外部提供的过程、产品和服务的控制；生产和服务提供的控制；标识和可追溯性；产品防护；变更的控制；顾客或外部供方财产；交付后活动；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QEO5.3/6.2；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bookmarkStart w:id="27" w:name="_GoBack"/>
            <w:bookmarkEnd w:id="27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86C11"/>
    <w:rsid w:val="49202EC8"/>
    <w:rsid w:val="50CE1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2021-09-14T07:34:34Z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