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河北永鑫体育用品有限公司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E勾选"/>
          </w:p>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textAlignment w:val="auto"/>
              <w:rPr>
                <w:sz w:val="22"/>
                <w:szCs w:val="22"/>
              </w:rPr>
            </w:pPr>
            <w:r>
              <w:rPr>
                <w:rFonts w:hint="eastAsia"/>
                <w:sz w:val="22"/>
                <w:szCs w:val="22"/>
                <w:lang w:eastAsia="zh-CN"/>
              </w:rPr>
              <w:t>■</w:t>
            </w:r>
            <w:bookmarkEnd w:id="3"/>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4" w:name="合同编号"/>
            <w:r>
              <w:rPr>
                <w:sz w:val="22"/>
                <w:szCs w:val="22"/>
              </w:rPr>
              <w:t>0906-2021-QEO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5" w:name="初审"/>
            <w:r>
              <w:rPr>
                <w:rFonts w:hint="eastAsia"/>
                <w:sz w:val="22"/>
                <w:szCs w:val="22"/>
              </w:rPr>
              <w:t>■</w:t>
            </w:r>
            <w:bookmarkEnd w:id="5"/>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张星</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2020-N1QMS-1263722</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9D26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2021-09-08T02:28:33Z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