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288"/>
        <w:gridCol w:w="1412"/>
        <w:gridCol w:w="1378"/>
        <w:gridCol w:w="322"/>
        <w:gridCol w:w="908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9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唐山开尔报废汽车回收拆解有限公司</w:t>
            </w:r>
            <w:bookmarkEnd w:id="7"/>
          </w:p>
        </w:tc>
        <w:tc>
          <w:tcPr>
            <w:tcW w:w="12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9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Q：24.01.01;29.03.01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O：24.01.01;29.03.01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杜宇皓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7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Q:24.01.01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O:24.01.01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2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Q:29.03.01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O:29.03.01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刘红杰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Q:29.03.01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</w:t>
            </w:r>
            <w:r>
              <w:rPr>
                <w:b/>
                <w:sz w:val="20"/>
              </w:rPr>
              <w:t>拆解生产线产生的需要进行破碎的废钢铁通过吊车、铲车运至破碎生产线。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</w:t>
            </w:r>
            <w:r>
              <w:rPr>
                <w:b/>
                <w:sz w:val="20"/>
              </w:rPr>
              <w:t>使用铲车将需破碎废钢铁放置在龙门剪，进行剪切。</w:t>
            </w:r>
          </w:p>
          <w:p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b/>
                <w:sz w:val="20"/>
              </w:rPr>
              <w:t>3.</w:t>
            </w:r>
            <w:r>
              <w:rPr>
                <w:b/>
                <w:sz w:val="20"/>
              </w:rPr>
              <w:t>剪切后物料规格≤500mm，暂存于2#破碎拆解车间内原料暂存区待用。使用抓钢机将剪切后的原料送至上料斗，经封闭式皮带输送机输送至废钢破碎机中进行破碎处理。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</w:t>
            </w:r>
            <w:r>
              <w:rPr>
                <w:b/>
                <w:sz w:val="20"/>
              </w:rPr>
              <w:t>铲车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叉车</w:t>
            </w:r>
            <w:r>
              <w:rPr>
                <w:rFonts w:hint="eastAsia"/>
                <w:b/>
                <w:sz w:val="20"/>
              </w:rPr>
              <w:t>运行</w:t>
            </w:r>
            <w:r>
              <w:rPr>
                <w:b/>
                <w:sz w:val="20"/>
              </w:rPr>
              <w:t>时造成的机械伤害</w:t>
            </w:r>
            <w:r>
              <w:rPr>
                <w:rFonts w:hint="eastAsia"/>
                <w:b/>
                <w:sz w:val="20"/>
              </w:rPr>
              <w:t>；控制措施：设置警示标识，加强人员安全教育培训，佩戴劳动防护用品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2.破碎机、龙门剪运行时造成的机械伤害；控制措施：设置警示标识，加强人员安全教育培训，佩戴劳动防护用品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3.配电室及各种电气设备存在触电安全隐患；控制措施：设置警示标识，加强人员安全教育培训，佩戴劳动防护用品，定期检查防护装置是否失效；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4.循环水池存在溺水安全隐患；控制措施：设置警示标识，加强人员安全教育培训，设置安全防护栏杆；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防雷防静电</w:t>
            </w:r>
            <w:r>
              <w:rPr>
                <w:b/>
                <w:sz w:val="20"/>
              </w:rPr>
              <w:t>装置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b/>
                <w:sz w:val="20"/>
              </w:rPr>
              <w:t>安全隐患排查</w:t>
            </w:r>
            <w:r>
              <w:rPr>
                <w:rFonts w:hint="eastAsia"/>
                <w:b/>
                <w:sz w:val="20"/>
              </w:rPr>
              <w:t>；风险分级管控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杜宇皓</w:t>
            </w:r>
          </w:p>
        </w:tc>
        <w:tc>
          <w:tcPr>
            <w:tcW w:w="311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周涛</w:t>
            </w:r>
            <w:bookmarkEnd w:id="9"/>
          </w:p>
        </w:tc>
        <w:tc>
          <w:tcPr>
            <w:tcW w:w="311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2021.8.31</w:t>
            </w:r>
            <w:bookmarkStart w:id="10" w:name="_GoBack"/>
            <w:bookmarkEnd w:id="10"/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B69FA"/>
    <w:rsid w:val="0020794D"/>
    <w:rsid w:val="0021144C"/>
    <w:rsid w:val="00303C52"/>
    <w:rsid w:val="003B69FA"/>
    <w:rsid w:val="005F76FE"/>
    <w:rsid w:val="006E5ECF"/>
    <w:rsid w:val="006F6FCB"/>
    <w:rsid w:val="00FF4ECA"/>
    <w:rsid w:val="0B675B66"/>
    <w:rsid w:val="324B6D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Char Char11 Char Char"/>
    <w:basedOn w:val="1"/>
    <w:next w:val="1"/>
    <w:qFormat/>
    <w:uiPriority w:val="0"/>
    <w:pPr>
      <w:spacing w:after="0" w:line="360" w:lineRule="auto"/>
      <w:ind w:firstLine="200" w:firstLineChars="200"/>
    </w:pPr>
    <w:rPr>
      <w:rFonts w:ascii="宋体" w:hAnsi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114</Words>
  <Characters>655</Characters>
  <Lines>5</Lines>
  <Paragraphs>1</Paragraphs>
  <TotalTime>33</TotalTime>
  <ScaleCrop>false</ScaleCrop>
  <LinksUpToDate>false</LinksUpToDate>
  <CharactersWithSpaces>768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2021-09-04T13:43:48Z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