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0837-2021-Q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四川永固公共安全设备检测有限公司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四川永固公共安全设备检测有限公司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成都市武侯区武侯电商产业功能区管委会武兴四路166号西部智谷D区3栋1单元701</w:t>
            </w:r>
            <w:bookmarkEnd w:id="6"/>
          </w:p>
        </w:tc>
        <w:tc>
          <w:tcPr>
            <w:tcW w:w="1242" w:type="dxa"/>
            <w:vMerge w:val="restart"/>
            <w:vAlign w:val="center"/>
          </w:tcPr>
          <w:p>
            <w:r>
              <w:rPr>
                <w:rFonts w:hint="eastAsia"/>
              </w:rPr>
              <w:t>邮编</w:t>
            </w:r>
          </w:p>
        </w:tc>
        <w:tc>
          <w:tcPr>
            <w:tcW w:w="1771" w:type="dxa"/>
          </w:tcPr>
          <w:p>
            <w:bookmarkStart w:id="7" w:name="注册邮编"/>
            <w:r>
              <w:t>610045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成都市武侯区武侯电商产业功能区管委会武兴四路166号西部智谷D区3栋1单元701</w:t>
            </w:r>
            <w:bookmarkEnd w:id="8"/>
          </w:p>
        </w:tc>
        <w:tc>
          <w:tcPr>
            <w:tcW w:w="1242" w:type="dxa"/>
            <w:vMerge w:val="continue"/>
            <w:vAlign w:val="center"/>
          </w:tcPr>
          <w:p/>
        </w:tc>
        <w:tc>
          <w:tcPr>
            <w:tcW w:w="1771" w:type="dxa"/>
          </w:tcPr>
          <w:p>
            <w:bookmarkStart w:id="9" w:name="办公邮编"/>
            <w:r>
              <w:t>610045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cs="宋体"/>
                <w:color w:val="000000"/>
                <w:kern w:val="0"/>
                <w:szCs w:val="24"/>
                <w:lang w:val="en-US" w:eastAsia="zh-CN"/>
              </w:rPr>
              <w:t>赵芹</w:t>
            </w:r>
            <w:r>
              <w:rPr>
                <w:rFonts w:hint="eastAsia" w:ascii="宋体" w:hAnsi="宋体" w:cs="宋体"/>
                <w:color w:val="000000"/>
                <w:kern w:val="0"/>
                <w:szCs w:val="24"/>
              </w:rPr>
              <w:t xml:space="preserve"> </w:t>
            </w:r>
          </w:p>
        </w:tc>
        <w:tc>
          <w:tcPr>
            <w:tcW w:w="1313" w:type="dxa"/>
            <w:vAlign w:val="center"/>
          </w:tcPr>
          <w:p>
            <w:r>
              <w:rPr>
                <w:rFonts w:hint="eastAsia"/>
              </w:rPr>
              <w:t>电话.</w:t>
            </w:r>
          </w:p>
        </w:tc>
        <w:tc>
          <w:tcPr>
            <w:tcW w:w="2180" w:type="dxa"/>
            <w:vAlign w:val="center"/>
          </w:tcPr>
          <w:p>
            <w:r>
              <w:rPr>
                <w:rFonts w:hint="eastAsia" w:ascii="宋体" w:hAnsi="宋体" w:cs="宋体"/>
                <w:color w:val="000000"/>
                <w:kern w:val="0"/>
                <w:szCs w:val="24"/>
                <w:lang w:val="en-US" w:eastAsia="zh-CN"/>
              </w:rPr>
              <w:t>13228211348</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姚林桂</w:t>
            </w:r>
            <w:bookmarkEnd w:id="11"/>
          </w:p>
        </w:tc>
        <w:tc>
          <w:tcPr>
            <w:tcW w:w="1313" w:type="dxa"/>
            <w:vAlign w:val="center"/>
          </w:tcPr>
          <w:p>
            <w:r>
              <w:rPr>
                <w:rFonts w:hint="eastAsia"/>
              </w:rPr>
              <w:t>管理者代表</w:t>
            </w:r>
          </w:p>
        </w:tc>
        <w:tc>
          <w:tcPr>
            <w:tcW w:w="2180" w:type="dxa"/>
          </w:tcPr>
          <w:p>
            <w:bookmarkStart w:id="12" w:name="管理者代表"/>
            <w:r>
              <w:t>刘记</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rPr>
              <w:t>签订《委托协议书》</w:t>
            </w:r>
            <w:r>
              <w:rPr>
                <w:rFonts w:hint="eastAsia" w:ascii="Times New Roman" w:hAnsi="Times New Roman" w:eastAsia="宋体" w:cs="Times New Roman"/>
                <w:lang w:eastAsia="zh-CN"/>
              </w:rPr>
              <w:t>—</w:t>
            </w:r>
            <w:r>
              <w:rPr>
                <w:rFonts w:hint="eastAsia" w:ascii="Times New Roman" w:hAnsi="Times New Roman" w:eastAsia="宋体" w:cs="Times New Roman"/>
              </w:rPr>
              <w:t>出具《检测任务单》</w:t>
            </w:r>
            <w:r>
              <w:rPr>
                <w:rFonts w:hint="eastAsia" w:ascii="Times New Roman" w:hAnsi="Times New Roman" w:eastAsia="宋体" w:cs="Times New Roman"/>
                <w:lang w:eastAsia="zh-CN"/>
              </w:rPr>
              <w:t>—</w:t>
            </w:r>
            <w:r>
              <w:rPr>
                <w:rFonts w:hint="eastAsia" w:ascii="Times New Roman" w:hAnsi="Times New Roman" w:eastAsia="宋体" w:cs="Times New Roman"/>
              </w:rPr>
              <w:t>检测任务分解</w:t>
            </w:r>
            <w:r>
              <w:rPr>
                <w:rFonts w:hint="eastAsia" w:ascii="Times New Roman" w:hAnsi="Times New Roman" w:eastAsia="宋体" w:cs="Times New Roman"/>
                <w:lang w:eastAsia="zh-CN"/>
              </w:rPr>
              <w:t>—</w:t>
            </w:r>
            <w:r>
              <w:rPr>
                <w:rFonts w:hint="eastAsia" w:ascii="Times New Roman" w:hAnsi="Times New Roman" w:eastAsia="宋体" w:cs="Times New Roman"/>
              </w:rPr>
              <w:t>领取检测器具</w:t>
            </w:r>
            <w:r>
              <w:rPr>
                <w:rFonts w:hint="eastAsia" w:ascii="Times New Roman" w:hAnsi="Times New Roman" w:eastAsia="宋体" w:cs="Times New Roman"/>
                <w:lang w:eastAsia="zh-CN"/>
              </w:rPr>
              <w:t>—</w:t>
            </w:r>
            <w:r>
              <w:rPr>
                <w:rFonts w:hint="eastAsia" w:ascii="Times New Roman" w:hAnsi="Times New Roman" w:eastAsia="宋体" w:cs="Times New Roman"/>
              </w:rPr>
              <w:t>现场检测与记录</w:t>
            </w:r>
            <w:r>
              <w:rPr>
                <w:rFonts w:hint="eastAsia" w:ascii="Times New Roman" w:hAnsi="Times New Roman" w:eastAsia="宋体" w:cs="Times New Roman"/>
                <w:lang w:eastAsia="zh-CN"/>
              </w:rPr>
              <w:t>—</w:t>
            </w:r>
            <w:r>
              <w:rPr>
                <w:rFonts w:hint="eastAsia" w:ascii="Times New Roman" w:hAnsi="Times New Roman" w:eastAsia="宋体" w:cs="Times New Roman"/>
              </w:rPr>
              <w:t>报告书编制与打印</w:t>
            </w:r>
            <w:r>
              <w:rPr>
                <w:rFonts w:hint="eastAsia" w:ascii="Times New Roman" w:hAnsi="Times New Roman" w:eastAsia="宋体" w:cs="Times New Roman"/>
                <w:lang w:eastAsia="zh-CN"/>
              </w:rPr>
              <w:t>—</w:t>
            </w:r>
            <w:r>
              <w:rPr>
                <w:rFonts w:hint="eastAsia" w:ascii="Times New Roman" w:hAnsi="Times New Roman" w:eastAsia="宋体" w:cs="Times New Roman"/>
              </w:rPr>
              <w:t>报告书审核、盖章、发放客户</w:t>
            </w:r>
            <w:r>
              <w:rPr>
                <w:rFonts w:hint="eastAsia" w:ascii="Times New Roman" w:hAnsi="Times New Roman" w:eastAsia="宋体" w:cs="Times New Roman"/>
                <w:lang w:eastAsia="zh-CN"/>
              </w:rPr>
              <w:t>—</w:t>
            </w:r>
            <w:r>
              <w:rPr>
                <w:rFonts w:hint="eastAsia" w:ascii="Times New Roman" w:hAnsi="Times New Roman" w:eastAsia="宋体" w:cs="Times New Roman"/>
              </w:rPr>
              <w:t>记录归档</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3" w:name="审核日期"/>
            <w:r>
              <w:rPr>
                <w:rFonts w:hint="eastAsia"/>
              </w:rPr>
              <w:t>2021年08月27日 上午至2021年08月27日 下午</w:t>
            </w:r>
            <w:bookmarkEnd w:id="13"/>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 xml:space="preserve">初审二阶段  </w:t>
            </w:r>
            <w:bookmarkStart w:id="23" w:name="监督勾选Add1"/>
            <w:r>
              <w:rPr>
                <w:rFonts w:hint="eastAsia"/>
              </w:rPr>
              <w:t>□</w:t>
            </w:r>
            <w:bookmarkEnd w:id="23"/>
            <w:r>
              <w:rPr>
                <w:rFonts w:hint="eastAsia"/>
              </w:rPr>
              <w:t xml:space="preserve">监督 第 </w:t>
            </w:r>
            <w:bookmarkStart w:id="24" w:name="监督次数"/>
            <w:bookmarkEnd w:id="24"/>
            <w:r>
              <w:rPr>
                <w:rFonts w:hint="eastAsia"/>
              </w:rPr>
              <w:t xml:space="preserve"> 次监督审核  </w:t>
            </w:r>
            <w:bookmarkStart w:id="25" w:name="再认证勾选"/>
            <w:r>
              <w:rPr>
                <w:rFonts w:hint="eastAsia"/>
              </w:rPr>
              <w:t>□</w:t>
            </w:r>
            <w:bookmarkEnd w:id="25"/>
            <w:r>
              <w:rPr>
                <w:rFonts w:hint="eastAsia"/>
              </w:rPr>
              <w:t xml:space="preserve">再认证 </w:t>
            </w:r>
            <w:bookmarkStart w:id="26" w:name="扩项勾选Add1"/>
            <w:r>
              <w:rPr>
                <w:rFonts w:hint="eastAsia"/>
              </w:rPr>
              <w:t>□</w:t>
            </w:r>
            <w:bookmarkEnd w:id="2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7" w:name="审核范围"/>
            <w:r>
              <w:rPr>
                <w:rFonts w:hint="eastAsia"/>
              </w:rPr>
              <w:t>资质范围内公共设施安全检测服务（人防设施）</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34.02.00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sym w:font="Wingdings 2" w:char="00A3"/>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2021年01月20日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highlight w:val="yellow"/>
              </w:rPr>
            </w:pPr>
            <w:r>
              <w:rPr>
                <w:rFonts w:hint="eastAsia"/>
                <w:highlight w:val="yellow"/>
              </w:rPr>
              <w:t>场所编号</w:t>
            </w:r>
          </w:p>
          <w:p>
            <w:pPr>
              <w:rPr>
                <w:highlight w:val="yellow"/>
              </w:rPr>
            </w:pPr>
            <w:r>
              <w:rPr>
                <w:rFonts w:hint="eastAsia"/>
                <w:highlight w:val="yellow"/>
              </w:rPr>
              <w:t>(分证书序号）</w:t>
            </w:r>
          </w:p>
        </w:tc>
        <w:tc>
          <w:tcPr>
            <w:tcW w:w="2267" w:type="dxa"/>
            <w:shd w:val="clear" w:color="auto" w:fill="F3F3F3"/>
            <w:tcMar>
              <w:left w:w="57" w:type="dxa"/>
              <w:right w:w="57" w:type="dxa"/>
            </w:tcMar>
          </w:tcPr>
          <w:p>
            <w:pPr>
              <w:rPr>
                <w:highlight w:val="yellow"/>
              </w:rPr>
            </w:pPr>
            <w:r>
              <w:rPr>
                <w:rFonts w:hint="eastAsia"/>
                <w:highlight w:val="yellow"/>
              </w:rPr>
              <w:t>组织名称及注册场所地址</w:t>
            </w:r>
          </w:p>
        </w:tc>
        <w:tc>
          <w:tcPr>
            <w:tcW w:w="2267" w:type="dxa"/>
            <w:shd w:val="clear" w:color="auto" w:fill="F3F3F3"/>
          </w:tcPr>
          <w:p>
            <w:pPr>
              <w:rPr>
                <w:highlight w:val="yellow"/>
              </w:rPr>
            </w:pPr>
            <w:r>
              <w:rPr>
                <w:rFonts w:hint="eastAsia"/>
                <w:highlight w:val="yellow"/>
              </w:rPr>
              <w:t>经营场所的地址</w:t>
            </w:r>
          </w:p>
          <w:p>
            <w:pPr>
              <w:rPr>
                <w:highlight w:val="yellow"/>
              </w:rPr>
            </w:pPr>
            <w:r>
              <w:rPr>
                <w:rFonts w:hint="eastAsia"/>
                <w:highlight w:val="yellow"/>
              </w:rPr>
              <w:t>（多现场和临时现场）</w:t>
            </w:r>
          </w:p>
        </w:tc>
        <w:tc>
          <w:tcPr>
            <w:tcW w:w="571" w:type="dxa"/>
            <w:shd w:val="clear" w:color="auto" w:fill="F3F3F3"/>
            <w:tcMar>
              <w:left w:w="57" w:type="dxa"/>
              <w:right w:w="57" w:type="dxa"/>
            </w:tcMar>
          </w:tcPr>
          <w:p>
            <w:pPr>
              <w:rPr>
                <w:highlight w:val="yellow"/>
              </w:rPr>
            </w:pPr>
            <w:r>
              <w:rPr>
                <w:rFonts w:hint="eastAsia"/>
                <w:highlight w:val="yellow"/>
              </w:rPr>
              <w:t>员工人数</w:t>
            </w:r>
          </w:p>
        </w:tc>
        <w:tc>
          <w:tcPr>
            <w:tcW w:w="2803" w:type="dxa"/>
            <w:shd w:val="clear" w:color="auto" w:fill="F3F3F3"/>
            <w:tcMar>
              <w:left w:w="57" w:type="dxa"/>
              <w:right w:w="57" w:type="dxa"/>
            </w:tcMar>
          </w:tcPr>
          <w:p>
            <w:pPr>
              <w:rPr>
                <w:highlight w:val="yellow"/>
              </w:rPr>
            </w:pPr>
            <w:r>
              <w:rPr>
                <w:rFonts w:hint="eastAsia"/>
                <w:highlight w:val="yellow"/>
              </w:rPr>
              <w:t>审核范围（产品和过程）</w:t>
            </w:r>
          </w:p>
          <w:p>
            <w:pPr>
              <w:rPr>
                <w:highlight w:val="yellow"/>
              </w:rPr>
            </w:pPr>
          </w:p>
          <w:p>
            <w:pPr>
              <w:rPr>
                <w:highlight w:val="yellow"/>
              </w:rPr>
            </w:pPr>
          </w:p>
        </w:tc>
        <w:tc>
          <w:tcPr>
            <w:tcW w:w="669" w:type="dxa"/>
            <w:shd w:val="clear" w:color="auto" w:fill="F3F3F3"/>
            <w:tcMar>
              <w:left w:w="57" w:type="dxa"/>
              <w:right w:w="57" w:type="dxa"/>
            </w:tcMar>
          </w:tcPr>
          <w:p>
            <w:pPr>
              <w:rPr>
                <w:highlight w:val="yellow"/>
              </w:rPr>
            </w:pPr>
            <w:r>
              <w:rPr>
                <w:rFonts w:hint="eastAsia"/>
                <w:highlight w:val="yellow"/>
              </w:rPr>
              <w:t>标准</w:t>
            </w:r>
          </w:p>
        </w:tc>
        <w:tc>
          <w:tcPr>
            <w:tcW w:w="668" w:type="dxa"/>
            <w:tcBorders>
              <w:bottom w:val="single" w:color="auto" w:sz="4" w:space="0"/>
            </w:tcBorders>
            <w:shd w:val="clear" w:color="auto" w:fill="F3F3F3"/>
            <w:tcMar>
              <w:left w:w="57" w:type="dxa"/>
              <w:right w:w="57" w:type="dxa"/>
            </w:tcMar>
          </w:tcPr>
          <w:p>
            <w:pPr>
              <w:rPr>
                <w:highlight w:val="yellow"/>
              </w:rPr>
            </w:pPr>
            <w:r>
              <w:rPr>
                <w:rFonts w:hint="eastAsia"/>
                <w:highlight w:val="yellow"/>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highlight w:val="yellow"/>
                <w:lang w:eastAsia="ja-JP"/>
              </w:rPr>
            </w:pPr>
            <w:r>
              <w:rPr>
                <w:rFonts w:hint="eastAsia"/>
                <w:highlight w:val="yellow"/>
                <w:lang w:eastAsia="ja-JP"/>
              </w:rPr>
              <w:t>01</w:t>
            </w:r>
          </w:p>
        </w:tc>
        <w:tc>
          <w:tcPr>
            <w:tcW w:w="2267" w:type="dxa"/>
          </w:tcPr>
          <w:p>
            <w:pPr>
              <w:rPr>
                <w:highlight w:val="yellow"/>
                <w:lang w:val="de-DE" w:eastAsia="ja-JP"/>
              </w:rPr>
            </w:pPr>
          </w:p>
        </w:tc>
        <w:tc>
          <w:tcPr>
            <w:tcW w:w="2267" w:type="dxa"/>
          </w:tcPr>
          <w:p>
            <w:pPr>
              <w:rPr>
                <w:highlight w:val="yellow"/>
                <w:lang w:val="de-DE" w:eastAsia="ja-JP"/>
              </w:rPr>
            </w:pPr>
          </w:p>
        </w:tc>
        <w:tc>
          <w:tcPr>
            <w:tcW w:w="571" w:type="dxa"/>
            <w:vAlign w:val="center"/>
          </w:tcPr>
          <w:p>
            <w:pPr>
              <w:rPr>
                <w:highlight w:val="yellow"/>
                <w:lang w:eastAsia="ja-JP"/>
              </w:rPr>
            </w:pPr>
          </w:p>
        </w:tc>
        <w:tc>
          <w:tcPr>
            <w:tcW w:w="2803" w:type="dxa"/>
            <w:vAlign w:val="center"/>
          </w:tcPr>
          <w:p>
            <w:pPr>
              <w:rPr>
                <w:highlight w:val="yellow"/>
                <w:lang w:eastAsia="ja-JP"/>
              </w:rPr>
            </w:pPr>
          </w:p>
        </w:tc>
        <w:tc>
          <w:tcPr>
            <w:tcW w:w="669" w:type="dxa"/>
            <w:vAlign w:val="center"/>
          </w:tcPr>
          <w:p>
            <w:pPr>
              <w:rPr>
                <w:highlight w:val="yellow"/>
                <w:lang w:eastAsia="ja-JP"/>
              </w:rPr>
            </w:pPr>
          </w:p>
        </w:tc>
        <w:tc>
          <w:tcPr>
            <w:tcW w:w="668" w:type="dxa"/>
            <w:shd w:val="clear" w:color="auto" w:fill="FFFFFF"/>
          </w:tcPr>
          <w:p>
            <w:pPr>
              <w:rPr>
                <w:highlight w:val="yellow"/>
              </w:rPr>
            </w:pP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yellow"/>
                <w:lang w:eastAsia="ja-JP"/>
              </w:rPr>
            </w:pPr>
            <w:r>
              <w:rPr>
                <w:rFonts w:hint="eastAsia"/>
                <w:highlight w:val="yellow"/>
                <w:lang w:eastAsia="ja-JP"/>
              </w:rPr>
              <w:t>02</w:t>
            </w:r>
          </w:p>
        </w:tc>
        <w:tc>
          <w:tcPr>
            <w:tcW w:w="2267" w:type="dxa"/>
            <w:vAlign w:val="center"/>
          </w:tcPr>
          <w:p>
            <w:pPr>
              <w:rPr>
                <w:highlight w:val="yellow"/>
                <w:lang w:eastAsia="ja-JP"/>
              </w:rPr>
            </w:pPr>
          </w:p>
        </w:tc>
        <w:tc>
          <w:tcPr>
            <w:tcW w:w="2267" w:type="dxa"/>
            <w:vAlign w:val="center"/>
          </w:tcPr>
          <w:p>
            <w:pPr>
              <w:rPr>
                <w:highlight w:val="yellow"/>
                <w:lang w:eastAsia="ja-JP"/>
              </w:rPr>
            </w:pPr>
          </w:p>
        </w:tc>
        <w:tc>
          <w:tcPr>
            <w:tcW w:w="571" w:type="dxa"/>
            <w:vAlign w:val="center"/>
          </w:tcPr>
          <w:p>
            <w:pPr>
              <w:rPr>
                <w:highlight w:val="yellow"/>
                <w:lang w:eastAsia="ja-JP"/>
              </w:rPr>
            </w:pPr>
          </w:p>
        </w:tc>
        <w:tc>
          <w:tcPr>
            <w:tcW w:w="2803" w:type="dxa"/>
            <w:vAlign w:val="center"/>
          </w:tcPr>
          <w:p>
            <w:pPr>
              <w:rPr>
                <w:highlight w:val="yellow"/>
                <w:lang w:eastAsia="ja-JP"/>
              </w:rPr>
            </w:pPr>
          </w:p>
        </w:tc>
        <w:tc>
          <w:tcPr>
            <w:tcW w:w="669" w:type="dxa"/>
            <w:vAlign w:val="center"/>
          </w:tcPr>
          <w:p>
            <w:pPr>
              <w:rPr>
                <w:highlight w:val="yellow"/>
                <w:lang w:eastAsia="ja-JP"/>
              </w:rPr>
            </w:pPr>
          </w:p>
        </w:tc>
        <w:tc>
          <w:tcPr>
            <w:tcW w:w="668" w:type="dxa"/>
            <w:shd w:val="clear" w:color="auto" w:fill="FFFFFF"/>
          </w:tcPr>
          <w:p>
            <w:pPr>
              <w:rPr>
                <w:highlight w:val="yellow"/>
              </w:rPr>
            </w:pP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yellow"/>
                <w:lang w:eastAsia="ja-JP"/>
              </w:rPr>
            </w:pPr>
            <w:r>
              <w:rPr>
                <w:rFonts w:hint="eastAsia"/>
                <w:highlight w:val="yellow"/>
                <w:lang w:eastAsia="ja-JP"/>
              </w:rPr>
              <w:t>03</w:t>
            </w:r>
          </w:p>
        </w:tc>
        <w:tc>
          <w:tcPr>
            <w:tcW w:w="2267" w:type="dxa"/>
            <w:vAlign w:val="center"/>
          </w:tcPr>
          <w:p>
            <w:pPr>
              <w:rPr>
                <w:highlight w:val="yellow"/>
                <w:lang w:eastAsia="ja-JP"/>
              </w:rPr>
            </w:pPr>
          </w:p>
        </w:tc>
        <w:tc>
          <w:tcPr>
            <w:tcW w:w="2267" w:type="dxa"/>
            <w:vAlign w:val="center"/>
          </w:tcPr>
          <w:p>
            <w:pPr>
              <w:rPr>
                <w:highlight w:val="yellow"/>
                <w:lang w:eastAsia="ja-JP"/>
              </w:rPr>
            </w:pPr>
          </w:p>
        </w:tc>
        <w:tc>
          <w:tcPr>
            <w:tcW w:w="571" w:type="dxa"/>
            <w:vAlign w:val="center"/>
          </w:tcPr>
          <w:p>
            <w:pPr>
              <w:rPr>
                <w:highlight w:val="yellow"/>
                <w:lang w:eastAsia="ja-JP"/>
              </w:rPr>
            </w:pPr>
          </w:p>
        </w:tc>
        <w:tc>
          <w:tcPr>
            <w:tcW w:w="2803" w:type="dxa"/>
            <w:vAlign w:val="center"/>
          </w:tcPr>
          <w:p>
            <w:pPr>
              <w:rPr>
                <w:highlight w:val="yellow"/>
                <w:lang w:eastAsia="ja-JP"/>
              </w:rPr>
            </w:pPr>
          </w:p>
        </w:tc>
        <w:tc>
          <w:tcPr>
            <w:tcW w:w="669" w:type="dxa"/>
            <w:vAlign w:val="center"/>
          </w:tcPr>
          <w:p>
            <w:pPr>
              <w:rPr>
                <w:highlight w:val="yellow"/>
                <w:lang w:eastAsia="ja-JP"/>
              </w:rPr>
            </w:pPr>
          </w:p>
        </w:tc>
        <w:tc>
          <w:tcPr>
            <w:tcW w:w="668" w:type="dxa"/>
            <w:shd w:val="clear" w:color="auto" w:fill="FFFFFF"/>
          </w:tcPr>
          <w:p>
            <w:pPr>
              <w:rPr>
                <w:highlight w:val="yellow"/>
              </w:rPr>
            </w:pP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任亚辉</w:t>
            </w:r>
          </w:p>
        </w:tc>
        <w:tc>
          <w:tcPr>
            <w:tcW w:w="1089" w:type="dxa"/>
            <w:vAlign w:val="center"/>
          </w:tcPr>
          <w:p>
            <w:r>
              <w:t>组员</w:t>
            </w:r>
          </w:p>
        </w:tc>
        <w:tc>
          <w:tcPr>
            <w:tcW w:w="711" w:type="dxa"/>
            <w:vAlign w:val="center"/>
          </w:tcPr>
          <w:p>
            <w:r>
              <w:t>男</w:t>
            </w:r>
          </w:p>
        </w:tc>
        <w:tc>
          <w:tcPr>
            <w:tcW w:w="3870" w:type="dxa"/>
            <w:vAlign w:val="center"/>
          </w:tcPr>
          <w:p>
            <w:r>
              <w:t>2020-N0QMS-1265975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陈勤</w:t>
            </w:r>
          </w:p>
        </w:tc>
        <w:tc>
          <w:tcPr>
            <w:tcW w:w="1089" w:type="dxa"/>
            <w:vAlign w:val="center"/>
          </w:tcPr>
          <w:p>
            <w:r>
              <w:t>组员</w:t>
            </w:r>
          </w:p>
        </w:tc>
        <w:tc>
          <w:tcPr>
            <w:tcW w:w="711" w:type="dxa"/>
            <w:vAlign w:val="center"/>
          </w:tcPr>
          <w:p>
            <w:r>
              <w:t>男</w:t>
            </w:r>
          </w:p>
        </w:tc>
        <w:tc>
          <w:tcPr>
            <w:tcW w:w="3870" w:type="dxa"/>
            <w:vAlign w:val="center"/>
          </w:tcPr>
          <w:p>
            <w:r>
              <w:t>ISC-JSZJ-376</w:t>
            </w:r>
          </w:p>
          <w:p>
            <w:r>
              <w:t>贵州中思创人防设备检测有限公司</w:t>
            </w:r>
          </w:p>
        </w:tc>
        <w:tc>
          <w:tcPr>
            <w:tcW w:w="2179" w:type="dxa"/>
            <w:vAlign w:val="center"/>
          </w:tcPr>
          <w:p>
            <w: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资质范围内公共设施安全检测服务（人防设施）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color w:val="auto"/>
              </w:rPr>
            </w:pPr>
            <w:r>
              <w:rPr>
                <w:rFonts w:hint="eastAsia" w:ascii="宋体" w:hAnsi="宋体"/>
                <w:b/>
                <w:color w:val="auto"/>
                <w:szCs w:val="21"/>
              </w:rPr>
              <w:drawing>
                <wp:anchor distT="0" distB="0" distL="114300" distR="114300" simplePos="0" relativeHeight="251659264" behindDoc="0" locked="0" layoutInCell="1" allowOverlap="1">
                  <wp:simplePos x="0" y="0"/>
                  <wp:positionH relativeFrom="column">
                    <wp:posOffset>402590</wp:posOffset>
                  </wp:positionH>
                  <wp:positionV relativeFrom="paragraph">
                    <wp:posOffset>24765</wp:posOffset>
                  </wp:positionV>
                  <wp:extent cx="410210" cy="290195"/>
                  <wp:effectExtent l="0" t="0" r="8890" b="1460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10210" cy="290195"/>
                          </a:xfrm>
                          <a:prstGeom prst="rect">
                            <a:avLst/>
                          </a:prstGeom>
                        </pic:spPr>
                      </pic:pic>
                    </a:graphicData>
                  </a:graphic>
                </wp:anchor>
              </w:drawing>
            </w:r>
          </w:p>
          <w:p>
            <w:pPr>
              <w:rPr>
                <w:color w:val="auto"/>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2021年08月27日</w:t>
            </w:r>
          </w:p>
        </w:tc>
      </w:tr>
    </w:tbl>
    <w:p>
      <w:bookmarkStart w:id="32" w:name="_GoBack"/>
      <w:bookmarkEnd w:id="32"/>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7"/>
              <w:spacing w:before="0" w:beforeAutospacing="0" w:after="0" w:afterAutospacing="0" w:line="500" w:lineRule="exact"/>
              <w:rPr>
                <w:rFonts w:hint="default" w:ascii="Times New Roman" w:hAnsi="Times New Roman" w:eastAsia="宋体" w:cs="Times New Roman"/>
                <w:kern w:val="2"/>
                <w:sz w:val="21"/>
                <w:szCs w:val="24"/>
                <w:u w:val="single"/>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u w:val="single"/>
              </w:rPr>
              <w:t xml:space="preserve"> </w:t>
            </w:r>
            <w:r>
              <w:rPr>
                <w:rFonts w:hint="eastAsia" w:ascii="Times New Roman" w:hAnsi="Times New Roman" w:eastAsia="宋体" w:cs="Times New Roman"/>
                <w:kern w:val="2"/>
                <w:sz w:val="21"/>
                <w:szCs w:val="24"/>
                <w:u w:val="single"/>
                <w:lang w:val="en-US" w:eastAsia="zh-CN" w:bidi="ar-SA"/>
              </w:rPr>
              <w:t xml:space="preserve">  质量为本，信誉第一，服务至上，持续改进 ；</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eastAsia="宋体"/>
                <w:spacing w:val="20"/>
                <w:sz w:val="18"/>
                <w:szCs w:val="18"/>
                <w:lang w:val="en-US" w:eastAsia="zh-CN"/>
              </w:rPr>
              <w:t>质控部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1、由工程部人员每个月对收集信息进行评价并整理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承诺的检测时限完成率大于95%</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szCs w:val="18"/>
                      <w:lang w:val="en-US" w:eastAsia="zh-CN"/>
                    </w:rPr>
                    <w:t>承诺时间内完成检测数/承诺时间内完成检测总数×100%</w:t>
                  </w:r>
                </w:p>
              </w:tc>
              <w:tc>
                <w:tcPr>
                  <w:tcW w:w="1350" w:type="dxa"/>
                  <w:shd w:val="clear" w:color="auto" w:fill="auto"/>
                  <w:vAlign w:val="center"/>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检测部</w:t>
                  </w:r>
                </w:p>
              </w:tc>
              <w:tc>
                <w:tcPr>
                  <w:tcW w:w="1774" w:type="dxa"/>
                  <w:shd w:val="clear" w:color="auto" w:fill="auto"/>
                  <w:vAlign w:val="top"/>
                </w:tcPr>
                <w:p>
                  <w:pPr>
                    <w:widowControl/>
                    <w:spacing w:before="40"/>
                    <w:jc w:val="left"/>
                    <w:rPr>
                      <w:rFonts w:hint="default" w:ascii="宋体" w:hAnsi="宋体" w:eastAsia="宋体" w:cs="宋体"/>
                      <w:kern w:val="2"/>
                      <w:sz w:val="21"/>
                      <w:szCs w:val="21"/>
                      <w:lang w:val="en-GB" w:eastAsia="zh-CN" w:bidi="ar-SA"/>
                    </w:rPr>
                  </w:pPr>
                  <w:r>
                    <w:rPr>
                      <w:rFonts w:hint="eastAsia" w:ascii="Times New Roman" w:hAnsi="Times New Roman" w:eastAsia="宋体" w:cs="Times New Roman"/>
                      <w:color w:val="000000"/>
                      <w:szCs w:val="18"/>
                      <w:lang w:val="en-US" w:eastAsia="zh-CN"/>
                    </w:rPr>
                    <w:t>96</w:t>
                  </w:r>
                  <w:r>
                    <w:rPr>
                      <w:rFonts w:hint="eastAsia" w:ascii="Times New Roman" w:hAnsi="Times New Roman" w:eastAsia="宋体" w:cs="Times New Roman"/>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检测事故率低于0.1%</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实际发生数与上年相比</w:t>
                  </w:r>
                </w:p>
              </w:tc>
              <w:tc>
                <w:tcPr>
                  <w:tcW w:w="1350" w:type="dxa"/>
                  <w:shd w:val="clear" w:color="auto" w:fill="auto"/>
                  <w:vAlign w:val="center"/>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质控部</w:t>
                  </w:r>
                </w:p>
              </w:tc>
              <w:tc>
                <w:tcPr>
                  <w:tcW w:w="1774" w:type="dxa"/>
                  <w:shd w:val="clear" w:color="auto" w:fill="auto"/>
                  <w:vAlign w:val="top"/>
                </w:tcPr>
                <w:p>
                  <w:pPr>
                    <w:widowControl/>
                    <w:spacing w:before="40"/>
                    <w:jc w:val="left"/>
                    <w:rPr>
                      <w:rFonts w:hint="default" w:ascii="宋体" w:hAnsi="宋体" w:eastAsia="宋体" w:cs="宋体"/>
                      <w:kern w:val="2"/>
                      <w:sz w:val="21"/>
                      <w:szCs w:val="21"/>
                      <w:lang w:val="en-US" w:eastAsia="zh-CN" w:bidi="ar-SA"/>
                    </w:rPr>
                  </w:pPr>
                  <w:r>
                    <w:rPr>
                      <w:rFonts w:hint="eastAsia" w:ascii="Times New Roman" w:hAnsi="Times New Roman" w:eastAsia="宋体"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顾客满意度≥96%</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顾客满意数/顾客总数×100%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市场开发部</w:t>
                  </w:r>
                </w:p>
              </w:tc>
              <w:tc>
                <w:tcPr>
                  <w:tcW w:w="1774" w:type="dxa"/>
                  <w:shd w:val="clear" w:color="auto" w:fill="auto"/>
                  <w:vAlign w:val="top"/>
                </w:tcPr>
                <w:p>
                  <w:pPr>
                    <w:widowControl/>
                    <w:spacing w:before="40"/>
                    <w:jc w:val="left"/>
                    <w:rPr>
                      <w:rFonts w:hint="default" w:ascii="宋体" w:hAnsi="宋体" w:eastAsia="宋体" w:cs="宋体"/>
                      <w:kern w:val="2"/>
                      <w:sz w:val="21"/>
                      <w:szCs w:val="21"/>
                      <w:lang w:val="en-US" w:eastAsia="zh-CN" w:bidi="ar-SA"/>
                    </w:rPr>
                  </w:pPr>
                  <w:r>
                    <w:rPr>
                      <w:rFonts w:hint="eastAsia" w:ascii="Times New Roman" w:hAnsi="Times New Roman" w:eastAsia="宋体" w:cs="Times New Roman"/>
                      <w:color w:val="000000"/>
                      <w:szCs w:val="18"/>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w:t>
            </w:r>
            <w:r>
              <w:rPr>
                <w:rFonts w:hint="eastAsia"/>
                <w:highlight w:val="none"/>
              </w:rPr>
              <w:t>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300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yellow"/>
                <w:u w:val="single"/>
                <w:lang w:val="en-US"/>
              </w:rPr>
            </w:pPr>
            <w:r>
              <w:rPr>
                <w:rFonts w:hint="eastAsia"/>
                <w:highlight w:val="none"/>
              </w:rPr>
              <w:t>主要生产设备有：</w:t>
            </w:r>
            <w:r>
              <w:rPr>
                <w:rFonts w:hint="eastAsia"/>
                <w:highlight w:val="none"/>
                <w:u w:val="single"/>
              </w:rPr>
              <w:t xml:space="preserve"> </w:t>
            </w:r>
            <w:r>
              <w:rPr>
                <w:rFonts w:hint="eastAsia" w:ascii="宋体" w:hAnsi="宋体" w:eastAsia="宋体" w:cs="Times New Roman"/>
                <w:szCs w:val="21"/>
                <w:highlight w:val="none"/>
                <w:u w:val="single"/>
                <w:lang w:val="en-US" w:eastAsia="zh-CN"/>
              </w:rPr>
              <w:t>电脑、打印机等办公用品</w:t>
            </w:r>
          </w:p>
          <w:p>
            <w:pPr>
              <w:shd w:val="clear" w:color="auto" w:fill="C7DAF1" w:themeFill="text2"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rPr>
              <w:sym w:font="Wingdings 2" w:char="00A3"/>
            </w:r>
            <w:r>
              <w:rPr>
                <w:rFonts w:hint="eastAsia"/>
              </w:rPr>
              <w:t xml:space="preserve">锅炉 </w:t>
            </w:r>
            <w:r>
              <w:rPr>
                <w:rFonts w:hint="eastAsia"/>
              </w:rPr>
              <w:sym w:font="Wingdings 2" w:char="00A3"/>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000000"/>
                <w:u w:val="single"/>
                <w:lang w:val="en-US" w:eastAsia="zh-CN"/>
              </w:rPr>
              <w:t>数显卡尺、钢直尺、同轴度检测仪、粗糙度检测仪、里氏硬度计、量块、指针式推拉力计等132项</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A3"/>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rFonts w:ascii="宋体" w:hAnsi="宋体" w:cs="宋体"/>
                      <w:color w:val="000000"/>
                      <w:kern w:val="0"/>
                      <w:szCs w:val="21"/>
                    </w:rPr>
                    <w:t>资质范围内公共设施安全检测服务（人防设施）</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检测服务过程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检测服务过程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A3"/>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A3"/>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17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B6020"/>
    <w:rsid w:val="0E757554"/>
    <w:rsid w:val="128D26BE"/>
    <w:rsid w:val="15D701EC"/>
    <w:rsid w:val="16E075A1"/>
    <w:rsid w:val="1D5E24FA"/>
    <w:rsid w:val="1FE03822"/>
    <w:rsid w:val="21ED7560"/>
    <w:rsid w:val="22636413"/>
    <w:rsid w:val="23115F3D"/>
    <w:rsid w:val="2BE22CD5"/>
    <w:rsid w:val="33041899"/>
    <w:rsid w:val="39961EF5"/>
    <w:rsid w:val="3AC27556"/>
    <w:rsid w:val="412A05E8"/>
    <w:rsid w:val="51617A47"/>
    <w:rsid w:val="577D3760"/>
    <w:rsid w:val="57EF2B1C"/>
    <w:rsid w:val="5DA14295"/>
    <w:rsid w:val="627E0F57"/>
    <w:rsid w:val="635460B5"/>
    <w:rsid w:val="67FD474E"/>
    <w:rsid w:val="713C568E"/>
    <w:rsid w:val="73DD31EA"/>
    <w:rsid w:val="75DC58A1"/>
    <w:rsid w:val="76FA56E2"/>
    <w:rsid w:val="791859F0"/>
    <w:rsid w:val="7BDB2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2021-08-27T06:02:40Z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