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0528-2020-Q-2021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天津市天风机械制造厂</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ISC-Q-2020-1195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91120113770635782H</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40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天津市天风机械制造厂</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普通机械（工业泵配件、小型电动滚筒)加工</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天津市北辰区宜兴埠镇工业园景观路43号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天津市北辰区宜兴埠镇工业园景观路43号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天津市天风机械制造厂</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ISC-Q-2020-1195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天津市北辰区宜兴埠镇工业园景观路43号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