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北京安居物业管理有限公司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曲晓莉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35.15.00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公司办公室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曲晓莉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详见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eastAsia="zh-CN"/>
              </w:rPr>
              <w:t>物业服务流程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火灾 触电 及机械伤害</w:t>
            </w:r>
            <w:r>
              <w:rPr>
                <w:rFonts w:hint="eastAsia"/>
                <w:b/>
                <w:sz w:val="20"/>
                <w:lang w:eastAsia="zh-CN"/>
              </w:rPr>
              <w:t>及疫情风险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详见有关《重要危险源清单》表述火灾 触电 及机械伤害高空坠落</w:t>
            </w:r>
            <w:r>
              <w:rPr>
                <w:rFonts w:hint="eastAsia"/>
                <w:b/>
                <w:sz w:val="20"/>
                <w:lang w:eastAsia="zh-CN"/>
              </w:rPr>
              <w:t>和疫情控制风险</w:t>
            </w:r>
            <w:r>
              <w:rPr>
                <w:rFonts w:hint="eastAsia"/>
                <w:b/>
                <w:sz w:val="20"/>
              </w:rPr>
              <w:t>，制定相应的预案。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安全生产法及相关安全法律法规和地方法律法规，详见法律法规清单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执行有关物业服务标准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审核有关知识、保密承诺等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曲晓莉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曲晓莉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B10B17"/>
    <w:rsid w:val="39783F50"/>
    <w:rsid w:val="5B485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2021-09-03T07:47:40Z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