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633"/>
        <w:gridCol w:w="897"/>
        <w:gridCol w:w="745"/>
        <w:gridCol w:w="2050"/>
        <w:gridCol w:w="1262"/>
        <w:gridCol w:w="18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四川普迪昂达机电设备有限公司</w:t>
            </w:r>
            <w:bookmarkEnd w:id="4"/>
          </w:p>
        </w:tc>
        <w:tc>
          <w:tcPr>
            <w:tcW w:w="126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3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bookmarkStart w:id="5" w:name="专业代码"/>
            <w:r>
              <w:rPr>
                <w:b/>
                <w:sz w:val="18"/>
                <w:szCs w:val="18"/>
              </w:rPr>
              <w:t>Q：18.08.00;19.16.00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O：18.08.00;19.16.00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7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E：18.08.00;19.16.00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O：18.08.00;19.16.00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Q</w:t>
            </w:r>
            <w:r>
              <w:rPr>
                <w:rFonts w:hint="eastAsia"/>
                <w:b/>
                <w:sz w:val="15"/>
                <w:szCs w:val="15"/>
                <w:lang w:eastAsia="zh-CN"/>
              </w:rPr>
              <w:t>：</w:t>
            </w:r>
            <w:bookmarkStart w:id="6" w:name="_GoBack"/>
            <w:bookmarkEnd w:id="6"/>
            <w:r>
              <w:rPr>
                <w:b/>
                <w:sz w:val="15"/>
                <w:szCs w:val="15"/>
              </w:rPr>
              <w:t>18.08.00;19.16.00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E：18.08.00;19.16.00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维修服务流程：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签订合同</w:t>
            </w:r>
            <w:r>
              <w:rPr>
                <w:rFonts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故障检查</w:t>
            </w:r>
            <w:r>
              <w:rPr>
                <w:rFonts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</w:rPr>
              <w:t>维修</w:t>
            </w:r>
            <w:r>
              <w:rPr>
                <w:rFonts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调试</w:t>
            </w:r>
            <w:r>
              <w:rPr>
                <w:rFonts w:hint="eastAsia" w:ascii="宋体" w:hAnsi="宋体"/>
                <w:szCs w:val="21"/>
                <w:highlight w:val="none"/>
              </w:rPr>
              <w:t>——交付。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维修为关键过程。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维修过程，依据作业指导书控制。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</w:t>
            </w:r>
            <w:r>
              <w:rPr>
                <w:rFonts w:hint="eastAsia"/>
                <w:sz w:val="20"/>
                <w:lang w:eastAsia="zh-CN"/>
              </w:rPr>
              <w:t>触电</w:t>
            </w:r>
            <w:r>
              <w:rPr>
                <w:rFonts w:hint="eastAsia"/>
                <w:sz w:val="20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维修、服务质量的监控等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F129F2"/>
    <w:rsid w:val="67FE0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2019-11-22T02:56:48Z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