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大庆市嘉顺石油机械设备有限公司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0264-2019-2021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0264-2019-2021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96"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710"/>
        <w:gridCol w:w="17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7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大庆市嘉顺石油机械设备有限公司</w:t>
            </w:r>
            <w:bookmarkEnd w:id="4"/>
          </w:p>
        </w:tc>
        <w:tc>
          <w:tcPr>
            <w:tcW w:w="17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魏晓娜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7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ISC-2020-0654</w:t>
            </w:r>
            <w:bookmarkEnd w:id="6"/>
          </w:p>
        </w:tc>
        <w:tc>
          <w:tcPr>
            <w:tcW w:w="17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2025-03-11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71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7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2021年12月12日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60"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710" w:type="dxa"/>
            <w:vAlign w:val="center"/>
          </w:tcPr>
          <w:p>
            <w:pPr>
              <w:tabs>
                <w:tab w:val="left" w:pos="880"/>
              </w:tabs>
              <w:autoSpaceDE w:val="0"/>
              <w:autoSpaceDN w:val="0"/>
              <w:adjustRightInd w:val="0"/>
              <w:spacing w:before="35" w:line="276" w:lineRule="auto"/>
              <w:ind w:right="161"/>
              <w:jc w:val="center"/>
              <w:rPr>
                <w:rFonts w:ascii="宋体" w:hAnsi="宋体" w:cs="宋体"/>
                <w:kern w:val="0"/>
                <w:szCs w:val="21"/>
              </w:rPr>
            </w:pPr>
            <w:r>
              <w:rPr>
                <w:rFonts w:hint="eastAsia" w:ascii="宋体" w:hAnsi="宋体" w:cs="宋体"/>
                <w:kern w:val="0"/>
                <w:szCs w:val="21"/>
              </w:rPr>
              <w:t>张龙光</w:t>
            </w:r>
            <w:r>
              <w:rPr>
                <w:rFonts w:ascii="宋体" w:hAnsi="宋体" w:cs="宋体"/>
                <w:kern w:val="0"/>
                <w:szCs w:val="21"/>
              </w:rPr>
              <w:t xml:space="preserve"> ISC[S]0201</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p>
        </w:tc>
        <w:tc>
          <w:tcPr>
            <w:tcW w:w="175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center"/>
          </w:tcPr>
          <w:p>
            <w:pPr>
              <w:tabs>
                <w:tab w:val="left" w:pos="880"/>
              </w:tabs>
              <w:autoSpaceDE w:val="0"/>
              <w:autoSpaceDN w:val="0"/>
              <w:adjustRightInd w:val="0"/>
              <w:spacing w:before="35"/>
              <w:ind w:right="161"/>
              <w:jc w:val="center"/>
              <w:rPr>
                <w:rFonts w:hint="eastAsia" w:ascii="宋体" w:cs="宋体" w:eastAsiaTheme="minorEastAsia"/>
                <w:kern w:val="0"/>
                <w:szCs w:val="21"/>
                <w:lang w:eastAsia="zh-CN"/>
              </w:rPr>
            </w:pPr>
            <w:r>
              <w:rPr>
                <w:rFonts w:hint="eastAsia" w:ascii="宋体" w:hAnsi="宋体" w:cs="宋体"/>
                <w:kern w:val="0"/>
                <w:szCs w:val="21"/>
                <w:lang w:eastAsia="zh-CN"/>
              </w:rPr>
              <w:t>质管部</w:t>
            </w:r>
          </w:p>
          <w:p>
            <w:pPr>
              <w:tabs>
                <w:tab w:val="left" w:pos="880"/>
              </w:tabs>
              <w:autoSpaceDE w:val="0"/>
              <w:autoSpaceDN w:val="0"/>
              <w:adjustRightInd w:val="0"/>
              <w:spacing w:before="35"/>
              <w:ind w:right="161"/>
              <w:jc w:val="center"/>
              <w:rPr>
                <w:rFonts w:ascii="宋体" w:cs="宋体"/>
                <w:kern w:val="0"/>
                <w:szCs w:val="21"/>
              </w:rPr>
            </w:pPr>
            <w:r>
              <w:rPr>
                <w:rFonts w:hint="eastAsia" w:ascii="宋体" w:hAnsi="宋体" w:cs="宋体"/>
                <w:kern w:val="0"/>
                <w:szCs w:val="21"/>
              </w:rPr>
              <w:t>综合办公室</w:t>
            </w:r>
          </w:p>
          <w:p>
            <w:pPr>
              <w:tabs>
                <w:tab w:val="left" w:pos="880"/>
              </w:tabs>
              <w:autoSpaceDE w:val="0"/>
              <w:autoSpaceDN w:val="0"/>
              <w:adjustRightInd w:val="0"/>
              <w:spacing w:before="35"/>
              <w:ind w:right="161"/>
              <w:jc w:val="center"/>
              <w:rPr>
                <w:rFonts w:hint="eastAsia" w:ascii="宋体" w:hAnsi="宋体" w:cs="宋体" w:eastAsiaTheme="minorEastAsia"/>
                <w:kern w:val="0"/>
                <w:szCs w:val="21"/>
                <w:lang w:eastAsia="zh-CN"/>
              </w:rPr>
            </w:pPr>
            <w:bookmarkStart w:id="12" w:name="_GoBack"/>
            <w:bookmarkEnd w:id="12"/>
            <w:r>
              <w:rPr>
                <w:rFonts w:hint="eastAsia" w:ascii="宋体" w:hAnsi="宋体" w:cs="宋体"/>
                <w:kern w:val="0"/>
                <w:szCs w:val="21"/>
                <w:lang w:eastAsia="zh-CN"/>
              </w:rPr>
              <w:t>供销部</w:t>
            </w:r>
          </w:p>
          <w:p>
            <w:pPr>
              <w:tabs>
                <w:tab w:val="left" w:pos="880"/>
              </w:tabs>
              <w:autoSpaceDE w:val="0"/>
              <w:autoSpaceDN w:val="0"/>
              <w:adjustRightInd w:val="0"/>
              <w:spacing w:before="35"/>
              <w:ind w:right="161"/>
              <w:jc w:val="center"/>
              <w:rPr>
                <w:rFonts w:cs="宋体" w:asciiTheme="minorEastAsia" w:hAnsiTheme="minorEastAsia"/>
                <w:kern w:val="0"/>
                <w:szCs w:val="21"/>
              </w:rPr>
            </w:pPr>
            <w:r>
              <w:rPr>
                <w:rFonts w:hint="eastAsia" w:ascii="宋体" w:hAnsi="宋体" w:cs="宋体"/>
                <w:kern w:val="0"/>
                <w:szCs w:val="21"/>
              </w:rPr>
              <w:t>生产部</w:t>
            </w:r>
          </w:p>
        </w:tc>
      </w:tr>
    </w:tbl>
    <w:p>
      <w:pPr>
        <w:widowControl/>
        <w:numPr>
          <w:ilvl w:val="0"/>
          <w:numId w:val="1"/>
        </w:numPr>
        <w:spacing w:line="360" w:lineRule="auto"/>
        <w:rPr>
          <w:rFonts w:hint="eastAsia" w:cs="宋体" w:asciiTheme="minorEastAsia" w:hAnsiTheme="minorEastAsia"/>
          <w:bCs/>
          <w:kern w:val="0"/>
          <w:szCs w:val="21"/>
        </w:rPr>
      </w:pP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w:t>
      </w:r>
      <w:r>
        <w:rPr>
          <w:rFonts w:hint="eastAsia" w:ascii="宋体" w:hAnsi="宋体" w:cs="宋体"/>
          <w:bCs/>
          <w:kern w:val="0"/>
          <w:szCs w:val="21"/>
        </w:rPr>
        <w:t>后</w:t>
      </w:r>
      <w:r>
        <w:rPr>
          <w:rFonts w:hint="eastAsia" w:ascii="宋体" w:hAnsi="宋体" w:cs="宋体"/>
          <w:bCs/>
          <w:kern w:val="0"/>
          <w:szCs w:val="21"/>
          <w:lang w:val="en-US" w:eastAsia="zh-CN"/>
        </w:rPr>
        <w:t>二</w:t>
      </w:r>
      <w:r>
        <w:rPr>
          <w:rFonts w:hint="eastAsia" w:ascii="宋体" w:hAnsi="宋体" w:cs="宋体"/>
          <w:bCs/>
          <w:kern w:val="0"/>
          <w:szCs w:val="21"/>
        </w:rPr>
        <w:t>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大大庆市嘉顺石油机械设备有限公司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val="en-US" w:eastAsia="zh-CN"/>
        </w:rPr>
        <w:t>和1</w:t>
      </w:r>
      <w:r>
        <w:rPr>
          <w:rFonts w:hint="eastAsia" w:ascii="宋体" w:hAnsi="宋体" w:cs="宋体"/>
          <w:bCs/>
          <w:kern w:val="0"/>
          <w:szCs w:val="21"/>
          <w:lang w:eastAsia="zh-CN"/>
        </w:rPr>
        <w:t>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eastAsia="zh-CN"/>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日，组织了公司测量管理体系内部审核，</w:t>
      </w:r>
      <w:r>
        <w:rPr>
          <w:rFonts w:hint="eastAsia" w:ascii="宋体" w:hAnsi="宋体" w:cs="宋体"/>
          <w:bCs/>
          <w:kern w:val="0"/>
          <w:szCs w:val="21"/>
          <w:lang w:val="en-US" w:eastAsia="zh-CN"/>
        </w:rPr>
        <w:t>魏晓娜</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cs="宋体"/>
          <w:bCs/>
          <w:kern w:val="0"/>
          <w:szCs w:val="21"/>
          <w:lang w:val="en-US" w:eastAsia="zh-CN"/>
        </w:rPr>
        <w:t>吴国兴</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标识、文件</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numPr>
          <w:ilvl w:val="0"/>
          <w:numId w:val="0"/>
        </w:numPr>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bookmarkStart w:id="10" w:name="审核范围"/>
      <w:r>
        <w:rPr>
          <w:rFonts w:hint="eastAsia"/>
          <w:color w:val="000000"/>
          <w:szCs w:val="21"/>
        </w:rPr>
        <w:t>石油钻采设备及配件、水处理设备、测试工具、封隔器、油管锚、油管短节、筛管、扶正器、抽油机配件、试采工具、电线电缆、仪器仪表、橡胶制品、篷帆布、防爆电热带及配件的生产；围栏、护栏、管道连接修补装置的生产和维修。防腐油管，防腐保温管线，水处理设备（气浮装置、过滤装置、搅拌器），井口装置（含地面井口安全阀及控制装置</w:t>
      </w:r>
      <w:r>
        <w:rPr>
          <w:color w:val="000000"/>
          <w:szCs w:val="21"/>
        </w:rPr>
        <w:t>)</w:t>
      </w:r>
      <w:r>
        <w:rPr>
          <w:rFonts w:hint="eastAsia"/>
          <w:color w:val="000000"/>
          <w:szCs w:val="21"/>
        </w:rPr>
        <w:t>的生产。阀组的研发，管道防腐修复，毛毡、混合阀组、空压及风净化成套装置的生产。</w:t>
      </w:r>
      <w:bookmarkEnd w:id="10"/>
      <w:r>
        <w:rPr>
          <w:rFonts w:hint="eastAsia"/>
          <w:color w:val="000000"/>
          <w:szCs w:val="21"/>
        </w:rPr>
        <w:t>目前共识别有油管锚总装水压密封试验等</w:t>
      </w:r>
      <w:r>
        <w:rPr>
          <w:rFonts w:ascii="宋体" w:hAnsi="宋体" w:cs="宋体"/>
          <w:bCs/>
          <w:kern w:val="0"/>
          <w:szCs w:val="21"/>
        </w:rPr>
        <w:t>15</w:t>
      </w:r>
      <w:r>
        <w:rPr>
          <w:rFonts w:hint="eastAsia" w:ascii="宋体" w:hAnsi="宋体"/>
          <w:szCs w:val="21"/>
        </w:rPr>
        <w:t>个关键</w:t>
      </w:r>
      <w:r>
        <w:rPr>
          <w:rFonts w:hint="eastAsia" w:ascii="宋体" w:hAnsi="宋体" w:cs="宋体"/>
          <w:bCs/>
          <w:kern w:val="0"/>
          <w:szCs w:val="21"/>
        </w:rPr>
        <w:t>测量过程。</w:t>
      </w:r>
      <w:r>
        <w:rPr>
          <w:rFonts w:hint="eastAsia"/>
        </w:rPr>
        <w:t>井口装置悬挂器硬度</w:t>
      </w:r>
      <w:r>
        <w:rPr>
          <w:rFonts w:hint="eastAsia" w:ascii="宋体" w:hAnsi="宋体" w:cs="宋体"/>
          <w:bCs/>
          <w:kern w:val="0"/>
          <w:szCs w:val="21"/>
        </w:rPr>
        <w:t>关键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t>井口装置悬挂器硬度</w:t>
      </w:r>
      <w:r>
        <w:rPr>
          <w:rFonts w:hint="eastAsia" w:ascii="宋体" w:hAnsi="宋体"/>
          <w:szCs w:val="21"/>
        </w:rPr>
        <w:t>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w:t>
      </w:r>
      <w:r>
        <w:rPr>
          <w:rFonts w:hint="eastAsia" w:ascii="宋体" w:hAnsi="宋体" w:cs="宋体"/>
          <w:bCs/>
          <w:kern w:val="0"/>
          <w:szCs w:val="21"/>
          <w:lang w:eastAsia="zh-CN"/>
        </w:rPr>
        <w:t>没有新</w:t>
      </w:r>
      <w:r>
        <w:rPr>
          <w:rFonts w:hint="eastAsia" w:ascii="宋体" w:hAnsi="宋体" w:cs="宋体"/>
          <w:bCs/>
          <w:kern w:val="0"/>
          <w:szCs w:val="21"/>
        </w:rPr>
        <w:t>增加测量过程，查看了</w:t>
      </w:r>
      <w:r>
        <w:rPr>
          <w:rFonts w:hint="eastAsia" w:ascii="宋体" w:hAnsi="宋体" w:cs="宋体"/>
          <w:bCs/>
          <w:kern w:val="0"/>
          <w:szCs w:val="21"/>
          <w:lang w:eastAsia="zh-CN"/>
        </w:rPr>
        <w:t>原</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井口装置悬挂器硬度测量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井口装置悬挂器硬度测量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snapToGrid w:val="0"/>
        <w:spacing w:line="360" w:lineRule="auto"/>
        <w:ind w:firstLine="420" w:firstLineChars="200"/>
        <w:rPr>
          <w:rFonts w:ascii="宋体"/>
          <w:bCs/>
          <w:szCs w:val="21"/>
        </w:rPr>
      </w:pPr>
      <w:r>
        <w:rPr>
          <w:rFonts w:hint="eastAsia" w:ascii="宋体" w:hAnsi="宋体" w:cs="宋体"/>
          <w:kern w:val="0"/>
          <w:szCs w:val="21"/>
        </w:rPr>
        <w:t>公司对上次审核中的</w:t>
      </w:r>
      <w:r>
        <w:rPr>
          <w:rFonts w:ascii="宋体" w:hAnsi="宋体" w:cs="宋体"/>
          <w:kern w:val="0"/>
          <w:szCs w:val="21"/>
        </w:rPr>
        <w:t>1</w:t>
      </w:r>
      <w:r>
        <w:rPr>
          <w:rFonts w:hint="eastAsia" w:ascii="宋体" w:hAnsi="宋体" w:cs="宋体"/>
          <w:kern w:val="0"/>
          <w:szCs w:val="21"/>
        </w:rPr>
        <w:t>个不符合项，及时制定整改计划，采取了如下纠正措施：</w:t>
      </w:r>
      <w:r>
        <w:rPr>
          <w:rFonts w:hint="eastAsia" w:ascii="宋体" w:hAnsi="宋体" w:cs="宋体"/>
          <w:kern w:val="0"/>
          <w:szCs w:val="21"/>
          <w:lang w:val="en-US" w:eastAsia="zh-CN"/>
        </w:rPr>
        <w:t>对</w:t>
      </w:r>
      <w:r>
        <w:rPr>
          <w:rFonts w:ascii="宋体" w:hAnsi="宋体"/>
        </w:rPr>
        <w:t>2020</w:t>
      </w:r>
      <w:r>
        <w:rPr>
          <w:rFonts w:hint="eastAsia" w:ascii="宋体" w:hAnsi="宋体"/>
        </w:rPr>
        <w:t>年</w:t>
      </w:r>
      <w:r>
        <w:rPr>
          <w:rFonts w:ascii="宋体" w:hAnsi="宋体"/>
        </w:rPr>
        <w:t>6</w:t>
      </w:r>
      <w:r>
        <w:rPr>
          <w:rFonts w:hint="eastAsia" w:ascii="宋体" w:hAnsi="宋体"/>
        </w:rPr>
        <w:t>月份对全员开展</w:t>
      </w:r>
      <w:r>
        <w:rPr>
          <w:rFonts w:hint="eastAsia" w:ascii="宋体" w:hAnsi="宋体"/>
          <w:lang w:val="en-US" w:eastAsia="zh-CN"/>
        </w:rPr>
        <w:t>的</w:t>
      </w:r>
      <w:r>
        <w:rPr>
          <w:rFonts w:hint="eastAsia" w:ascii="宋体" w:hAnsi="宋体"/>
        </w:rPr>
        <w:t>“</w:t>
      </w:r>
      <w:r>
        <w:rPr>
          <w:rFonts w:hint="eastAsia" w:ascii="宋体"/>
          <w:szCs w:val="21"/>
        </w:rPr>
        <w:t>计量法相关内容</w:t>
      </w:r>
      <w:r>
        <w:rPr>
          <w:rFonts w:hint="eastAsia" w:ascii="宋体" w:hAnsi="宋体"/>
        </w:rPr>
        <w:t>”培训班的有效性进行评价并记录</w:t>
      </w:r>
      <w:r>
        <w:rPr>
          <w:rFonts w:hint="eastAsia" w:ascii="宋体" w:hAnsi="宋体" w:cs="宋体"/>
          <w:kern w:val="0"/>
          <w:szCs w:val="21"/>
        </w:rPr>
        <w:t>，</w:t>
      </w:r>
      <w:r>
        <w:rPr>
          <w:rFonts w:hint="eastAsia" w:ascii="宋体" w:hAnsi="宋体"/>
          <w:bCs/>
          <w:szCs w:val="21"/>
        </w:rPr>
        <w:t>对有关人员进行了培训。以上不符合项的整改资料齐全。经本次现场审核，审核组通过对整改完成情况及纠正措施有效性进行查验，确认公司上次认证审核中确定的</w:t>
      </w:r>
      <w:r>
        <w:rPr>
          <w:rFonts w:ascii="宋体" w:hAnsi="宋体"/>
          <w:bCs/>
          <w:szCs w:val="21"/>
        </w:rPr>
        <w:t>1</w:t>
      </w:r>
      <w:r>
        <w:rPr>
          <w:rFonts w:hint="eastAsia" w:ascii="宋体" w:hAnsi="宋体"/>
          <w:bCs/>
          <w:szCs w:val="21"/>
        </w:rPr>
        <w:t>个不符合项，该公司所采取的纠正措施按时整改完成，纠正措施有效，预防再次发生。同意关闭不符合项。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自上次监督审核以来未发生</w:t>
      </w:r>
      <w:r>
        <w:rPr>
          <w:rFonts w:hint="eastAsia" w:ascii="宋体" w:hAnsi="宋体" w:cs="宋体"/>
          <w:bCs/>
          <w:kern w:val="0"/>
          <w:szCs w:val="21"/>
          <w:lang w:eastAsia="zh-CN"/>
        </w:rPr>
        <w:t>变</w:t>
      </w:r>
      <w:r>
        <w:rPr>
          <w:rFonts w:hint="eastAsia" w:ascii="宋体" w:hAnsi="宋体" w:cs="宋体"/>
          <w:bCs/>
          <w:kern w:val="0"/>
          <w:szCs w:val="21"/>
        </w:rPr>
        <w:t>更，认证产品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新疆油田、青海油田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ind w:firstLine="420" w:firstLineChars="200"/>
        <w:jc w:val="left"/>
        <w:rPr>
          <w:rFonts w:hint="eastAsia" w:ascii="宋体" w:hAnsi="宋体" w:cs="宋体"/>
          <w:bCs/>
          <w:color w:val="FF0000"/>
          <w:kern w:val="0"/>
          <w:szCs w:val="21"/>
          <w:highlight w:val="red"/>
        </w:rPr>
      </w:pPr>
      <w:r>
        <w:rPr>
          <w:rFonts w:hint="eastAsia" w:ascii="宋体" w:hAnsi="宋体"/>
          <w:szCs w:val="21"/>
          <w:lang w:val="en-US" w:eastAsia="zh-CN"/>
        </w:rPr>
        <w:t>10.1</w:t>
      </w:r>
      <w:r>
        <w:rPr>
          <w:rFonts w:hint="eastAsia" w:ascii="宋体" w:hAnsi="宋体" w:eastAsia="宋体" w:cs="Times New Roman"/>
          <w:color w:val="auto"/>
          <w:szCs w:val="21"/>
          <w:shd w:val="clear" w:color="auto" w:fill="auto"/>
          <w:lang w:val="en-US" w:eastAsia="zh-CN"/>
        </w:rPr>
        <w:t>抽查质管部提供的</w:t>
      </w:r>
      <w:r>
        <w:rPr>
          <w:rFonts w:hint="eastAsia" w:ascii="宋体" w:hAnsi="宋体" w:eastAsia="宋体" w:cs="Times New Roman"/>
          <w:color w:val="auto"/>
          <w:szCs w:val="21"/>
          <w:shd w:val="clear" w:color="auto" w:fill="auto"/>
        </w:rPr>
        <w:t>JL8.</w:t>
      </w:r>
      <w:r>
        <w:rPr>
          <w:rFonts w:hint="eastAsia" w:ascii="宋体" w:hAnsi="宋体" w:eastAsia="宋体" w:cs="Times New Roman"/>
          <w:color w:val="auto"/>
          <w:szCs w:val="21"/>
          <w:shd w:val="clear" w:color="auto" w:fill="auto"/>
          <w:lang w:val="en-US" w:eastAsia="zh-CN"/>
        </w:rPr>
        <w:t>5</w:t>
      </w:r>
      <w:r>
        <w:rPr>
          <w:rFonts w:hint="eastAsia" w:ascii="宋体" w:hAnsi="宋体" w:eastAsia="宋体" w:cs="Times New Roman"/>
          <w:color w:val="auto"/>
          <w:szCs w:val="21"/>
          <w:shd w:val="clear" w:color="auto" w:fill="auto"/>
        </w:rPr>
        <w:t>-</w:t>
      </w:r>
      <w:r>
        <w:rPr>
          <w:rFonts w:hint="eastAsia" w:ascii="宋体" w:hAnsi="宋体" w:eastAsia="宋体" w:cs="Times New Roman"/>
          <w:color w:val="auto"/>
          <w:szCs w:val="21"/>
          <w:shd w:val="clear" w:color="auto" w:fill="auto"/>
          <w:lang w:val="en-US" w:eastAsia="zh-CN"/>
        </w:rPr>
        <w:t>06出厂</w:t>
      </w:r>
      <w:r>
        <w:rPr>
          <w:rFonts w:hint="eastAsia" w:ascii="宋体" w:hAnsi="宋体" w:eastAsia="宋体" w:cs="Times New Roman"/>
          <w:color w:val="auto"/>
          <w:szCs w:val="21"/>
          <w:shd w:val="clear" w:color="auto" w:fill="auto"/>
        </w:rPr>
        <w:t>检验记录，</w:t>
      </w:r>
      <w:r>
        <w:rPr>
          <w:rFonts w:hint="eastAsia" w:ascii="宋体" w:hAnsi="宋体" w:eastAsia="宋体" w:cs="Times New Roman"/>
          <w:color w:val="auto"/>
          <w:szCs w:val="21"/>
          <w:shd w:val="clear" w:color="auto" w:fill="auto"/>
          <w:lang w:eastAsia="zh-CN"/>
        </w:rPr>
        <w:t>没有标明记录保存期限</w:t>
      </w:r>
      <w:r>
        <w:rPr>
          <w:rFonts w:hint="eastAsia" w:ascii="宋体" w:hAnsi="宋体" w:eastAsia="宋体" w:cs="Times New Roman"/>
          <w:color w:val="auto"/>
          <w:szCs w:val="21"/>
          <w:shd w:val="clear" w:color="auto" w:fill="auto"/>
          <w:lang w:val="en-US" w:eastAsia="zh-CN"/>
        </w:rPr>
        <w:t>等信息</w:t>
      </w:r>
      <w:r>
        <w:rPr>
          <w:rFonts w:hint="eastAsia" w:ascii="宋体" w:hAnsi="宋体" w:eastAsia="宋体" w:cs="Times New Roman"/>
          <w:color w:val="auto"/>
          <w:szCs w:val="21"/>
          <w:shd w:val="clear" w:color="auto" w:fill="auto"/>
          <w:lang w:eastAsia="zh-CN"/>
        </w:rPr>
        <w:t>，不符合</w:t>
      </w:r>
      <w:r>
        <w:rPr>
          <w:rFonts w:hint="eastAsia" w:ascii="宋体" w:hAnsi="宋体" w:eastAsia="宋体" w:cs="Times New Roman"/>
          <w:color w:val="auto"/>
          <w:szCs w:val="21"/>
          <w:shd w:val="clear" w:color="auto" w:fill="auto"/>
        </w:rPr>
        <w:t>GB/T19022-2003标准6.</w:t>
      </w:r>
      <w:r>
        <w:rPr>
          <w:rFonts w:hint="eastAsia" w:ascii="宋体" w:hAnsi="宋体" w:eastAsia="宋体" w:cs="Times New Roman"/>
          <w:color w:val="auto"/>
          <w:szCs w:val="21"/>
          <w:shd w:val="clear" w:color="auto" w:fill="auto"/>
          <w:lang w:val="en-US" w:eastAsia="zh-CN"/>
        </w:rPr>
        <w:t>2</w:t>
      </w:r>
      <w:r>
        <w:rPr>
          <w:rFonts w:hint="eastAsia" w:ascii="宋体" w:hAnsi="宋体" w:eastAsia="宋体" w:cs="Times New Roman"/>
          <w:color w:val="auto"/>
          <w:szCs w:val="21"/>
          <w:shd w:val="clear" w:color="auto" w:fill="auto"/>
        </w:rPr>
        <w:t>.</w:t>
      </w:r>
      <w:r>
        <w:rPr>
          <w:rFonts w:hint="eastAsia" w:ascii="宋体" w:hAnsi="宋体" w:eastAsia="宋体" w:cs="Times New Roman"/>
          <w:color w:val="auto"/>
          <w:szCs w:val="21"/>
          <w:shd w:val="clear" w:color="auto" w:fill="auto"/>
          <w:lang w:val="en-US" w:eastAsia="zh-CN"/>
        </w:rPr>
        <w:t>3</w:t>
      </w:r>
      <w:r>
        <w:rPr>
          <w:rFonts w:hint="eastAsia" w:ascii="宋体" w:hAnsi="宋体" w:cs="Times New Roman"/>
          <w:color w:val="auto"/>
          <w:szCs w:val="21"/>
          <w:shd w:val="clear" w:color="auto" w:fill="auto"/>
          <w:lang w:val="en-US" w:eastAsia="zh-CN"/>
        </w:rPr>
        <w:t xml:space="preserve"> 记录 </w:t>
      </w:r>
      <w:r>
        <w:rPr>
          <w:rFonts w:hint="eastAsia" w:ascii="宋体" w:hAnsi="宋体" w:eastAsia="宋体" w:cs="Times New Roman"/>
          <w:color w:val="auto"/>
          <w:szCs w:val="21"/>
          <w:shd w:val="clear" w:color="auto" w:fill="auto"/>
        </w:rPr>
        <w:t>条款的</w:t>
      </w:r>
      <w:r>
        <w:rPr>
          <w:rFonts w:hint="eastAsia" w:ascii="宋体" w:hAnsi="宋体" w:eastAsia="宋体" w:cs="Times New Roman"/>
          <w:color w:val="auto"/>
          <w:szCs w:val="21"/>
          <w:shd w:val="clear" w:color="auto" w:fill="auto"/>
          <w:lang w:val="en-US" w:eastAsia="zh-CN"/>
        </w:rPr>
        <w:t>规定</w:t>
      </w:r>
      <w:r>
        <w:rPr>
          <w:rFonts w:hint="eastAsia" w:ascii="宋体" w:hAnsi="宋体" w:eastAsia="宋体" w:cs="Times New Roman"/>
          <w:color w:val="auto"/>
          <w:szCs w:val="21"/>
          <w:shd w:val="clear" w:color="auto" w:fill="auto"/>
        </w:rPr>
        <w:t>要求</w:t>
      </w:r>
      <w:r>
        <w:rPr>
          <w:rFonts w:hint="eastAsia" w:ascii="宋体" w:hAnsi="宋体"/>
        </w:rPr>
        <w:t>。</w:t>
      </w:r>
      <w:r>
        <w:rPr>
          <w:rFonts w:hint="eastAsia" w:ascii="宋体" w:hAnsi="宋体" w:cs="宋体"/>
          <w:bCs/>
          <w:color w:val="auto"/>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lang w:val="en-US" w:eastAsia="zh-CN"/>
        </w:rPr>
        <w:t>.</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2020年10月-2021年11月</w:t>
      </w:r>
      <w:r>
        <w:rPr>
          <w:rFonts w:hint="eastAsia" w:ascii="宋体" w:hAnsi="宋体" w:cs="宋体"/>
          <w:bCs/>
          <w:kern w:val="0"/>
          <w:szCs w:val="21"/>
        </w:rPr>
        <w:t>耗能为</w:t>
      </w:r>
      <w:r>
        <w:rPr>
          <w:rFonts w:hint="eastAsia" w:ascii="宋体" w:hAnsi="宋体" w:cs="宋体"/>
          <w:bCs/>
          <w:kern w:val="0"/>
          <w:szCs w:val="21"/>
          <w:lang w:val="en-US" w:eastAsia="zh-CN"/>
        </w:rPr>
        <w:t>5.2</w:t>
      </w:r>
      <w:r>
        <w:rPr>
          <w:rFonts w:hint="eastAsia" w:ascii="宋体" w:hAnsi="宋体" w:cs="宋体"/>
          <w:bCs/>
          <w:kern w:val="0"/>
          <w:szCs w:val="21"/>
        </w:rPr>
        <w:t>吨标煤</w:t>
      </w:r>
      <w:r>
        <w:rPr>
          <w:rFonts w:hint="eastAsia" w:ascii="宋体" w:hAnsi="宋体" w:cs="宋体"/>
          <w:bCs/>
          <w:color w:val="auto"/>
          <w:kern w:val="0"/>
          <w:szCs w:val="21"/>
        </w:rPr>
        <w:t>，</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要求</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日，对</w:t>
      </w:r>
      <w:r>
        <w:rPr>
          <w:rStyle w:val="10"/>
          <w:rFonts w:ascii="宋体" w:hAnsi="宋体" w:eastAsia="宋体"/>
          <w:color w:val="auto"/>
          <w:sz w:val="21"/>
          <w:szCs w:val="21"/>
        </w:rPr>
        <w:t>大庆市嘉顺石油机械设备有限公司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Style w:val="10"/>
          <w:rFonts w:ascii="宋体" w:hAnsi="宋体" w:eastAsia="宋体"/>
          <w:color w:val="auto"/>
          <w:sz w:val="21"/>
          <w:szCs w:val="21"/>
        </w:rPr>
        <w:t>大庆市嘉顺石油机械设备有限公司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目前已建立了计量器具台账，但台账要及时更新和完善。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numPr>
          <w:ilvl w:val="0"/>
          <w:numId w:val="0"/>
        </w:numPr>
        <w:spacing w:line="360" w:lineRule="auto"/>
        <w:rPr>
          <w:rFonts w:hint="eastAsia" w:cs="宋体" w:asciiTheme="minorEastAsia" w:hAnsiTheme="minorEastAsia"/>
          <w:bCs/>
          <w:kern w:val="0"/>
          <w:szCs w:val="21"/>
        </w:rPr>
      </w:pPr>
      <w:r>
        <w:rPr>
          <w:rFonts w:hint="eastAsia" w:ascii="宋体" w:hAnsi="宋体" w:eastAsia="宋体" w:cs="宋体"/>
          <w:kern w:val="0"/>
          <w:szCs w:val="21"/>
        </w:rPr>
        <w:drawing>
          <wp:anchor distT="0" distB="0" distL="114300" distR="114300" simplePos="0" relativeHeight="251663360" behindDoc="0" locked="0" layoutInCell="1" allowOverlap="1">
            <wp:simplePos x="0" y="0"/>
            <wp:positionH relativeFrom="column">
              <wp:posOffset>1465580</wp:posOffset>
            </wp:positionH>
            <wp:positionV relativeFrom="paragraph">
              <wp:posOffset>186690</wp:posOffset>
            </wp:positionV>
            <wp:extent cx="781050" cy="393700"/>
            <wp:effectExtent l="0" t="0" r="0" b="6350"/>
            <wp:wrapNone/>
            <wp:docPr id="2" name="图片 2" descr="68d80296c9881167138c221c7505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d80296c9881167138c221c750556e"/>
                    <pic:cNvPicPr>
                      <a:picLocks noChangeAspect="1"/>
                    </pic:cNvPicPr>
                  </pic:nvPicPr>
                  <pic:blipFill>
                    <a:blip r:embed="rId6"/>
                    <a:stretch>
                      <a:fillRect/>
                    </a:stretch>
                  </pic:blipFill>
                  <pic:spPr>
                    <a:xfrm>
                      <a:off x="0" y="0"/>
                      <a:ext cx="781050" cy="39370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2021年12月12日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eastAsia" w:ascii="宋体" w:hAnsi="宋体" w:eastAsia="宋体" w:cs="宋体"/>
          <w:kern w:val="0"/>
          <w:szCs w:val="21"/>
        </w:rPr>
        <w:drawing>
          <wp:anchor distT="0" distB="0" distL="114300" distR="114300" simplePos="0" relativeHeight="251662336" behindDoc="0" locked="0" layoutInCell="1" allowOverlap="1">
            <wp:simplePos x="0" y="0"/>
            <wp:positionH relativeFrom="column">
              <wp:posOffset>1452880</wp:posOffset>
            </wp:positionH>
            <wp:positionV relativeFrom="paragraph">
              <wp:posOffset>57150</wp:posOffset>
            </wp:positionV>
            <wp:extent cx="781050" cy="393700"/>
            <wp:effectExtent l="0" t="0" r="0" b="6350"/>
            <wp:wrapNone/>
            <wp:docPr id="3" name="图片 3" descr="68d80296c9881167138c221c7505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d80296c9881167138c221c750556e"/>
                    <pic:cNvPicPr>
                      <a:picLocks noChangeAspect="1"/>
                    </pic:cNvPicPr>
                  </pic:nvPicPr>
                  <pic:blipFill>
                    <a:blip r:embed="rId6"/>
                    <a:stretch>
                      <a:fillRect/>
                    </a:stretch>
                  </pic:blipFill>
                  <pic:spPr>
                    <a:xfrm>
                      <a:off x="0" y="0"/>
                      <a:ext cx="781050" cy="393700"/>
                    </a:xfrm>
                    <a:prstGeom prst="rect">
                      <a:avLst/>
                    </a:prstGeom>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2021年12月12日</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C88CA"/>
    <w:multiLevelType w:val="singleLevel"/>
    <w:tmpl w:val="A65C88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E5342"/>
    <w:rsid w:val="2BB76830"/>
    <w:rsid w:val="392F3A7B"/>
    <w:rsid w:val="4B471834"/>
    <w:rsid w:val="4E6D5C8A"/>
    <w:rsid w:val="52EA4D88"/>
    <w:rsid w:val="5F0C16F0"/>
    <w:rsid w:val="680B5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2021-12-16T03:11:09Z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06BDBDE7B09F45C9B135216E02EECA3C</vt:lpwstr>
  </property>
</Properties>
</file>