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0884-2021-E</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保定毓嘉泵业制造有限公司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保定毓嘉泵业制造有限公司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河北省保定市顺平县腰山镇正童村</w:t>
            </w:r>
            <w:bookmarkEnd w:id="6"/>
          </w:p>
        </w:tc>
        <w:tc>
          <w:tcPr>
            <w:tcW w:w="1242" w:type="dxa"/>
            <w:vMerge w:val="restart"/>
            <w:vAlign w:val="center"/>
          </w:tcPr>
          <w:p>
            <w:r>
              <w:rPr>
                <w:rFonts w:hint="eastAsia"/>
              </w:rPr>
              <w:t>邮编</w:t>
            </w:r>
          </w:p>
        </w:tc>
        <w:tc>
          <w:tcPr>
            <w:tcW w:w="1771" w:type="dxa"/>
          </w:tcPr>
          <w:p>
            <w:bookmarkStart w:id="7" w:name="注册邮编"/>
            <w:r>
              <w:t>072252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河北省保定市顺平县东方新城1号楼1单元702室</w:t>
            </w:r>
            <w:bookmarkEnd w:id="8"/>
          </w:p>
        </w:tc>
        <w:tc>
          <w:tcPr>
            <w:tcW w:w="1242" w:type="dxa"/>
            <w:vMerge w:val="continue"/>
            <w:vAlign w:val="center"/>
          </w:tcPr>
          <w:p/>
        </w:tc>
        <w:tc>
          <w:tcPr>
            <w:tcW w:w="1771" w:type="dxa"/>
          </w:tcPr>
          <w:p>
            <w:bookmarkStart w:id="9" w:name="办公邮编"/>
            <w:r>
              <w:t>072250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龚智刚</w:t>
            </w:r>
            <w:bookmarkEnd w:id="10"/>
          </w:p>
        </w:tc>
        <w:tc>
          <w:tcPr>
            <w:tcW w:w="1313" w:type="dxa"/>
            <w:vAlign w:val="center"/>
          </w:tcPr>
          <w:p>
            <w:r>
              <w:rPr>
                <w:rFonts w:hint="eastAsia"/>
              </w:rPr>
              <w:t>电话.</w:t>
            </w:r>
          </w:p>
        </w:tc>
        <w:tc>
          <w:tcPr>
            <w:tcW w:w="2180" w:type="dxa"/>
            <w:vAlign w:val="center"/>
          </w:tcPr>
          <w:p>
            <w:bookmarkStart w:id="11" w:name="联系人电话"/>
            <w:r>
              <w:t>15891150750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李会永</w:t>
            </w:r>
            <w:bookmarkEnd w:id="13"/>
          </w:p>
        </w:tc>
        <w:tc>
          <w:tcPr>
            <w:tcW w:w="1313" w:type="dxa"/>
            <w:vAlign w:val="center"/>
          </w:tcPr>
          <w:p>
            <w:r>
              <w:rPr>
                <w:rFonts w:hint="eastAsia"/>
              </w:rPr>
              <w:t>管理者代表</w:t>
            </w:r>
          </w:p>
        </w:tc>
        <w:tc>
          <w:tcPr>
            <w:tcW w:w="2180" w:type="dxa"/>
          </w:tcPr>
          <w:p>
            <w:bookmarkStart w:id="14" w:name="管理者代表"/>
            <w:r>
              <w:t>龚智刚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sz w:val="28"/>
                <w:szCs w:val="28"/>
                <w:lang w:eastAsia="zh-CN"/>
              </w:rPr>
              <w:t>客户接待</w:t>
            </w:r>
            <w:r>
              <w:rPr>
                <w:rFonts w:ascii="宋体" w:hAnsi="宋体" w:eastAsia="宋体"/>
                <w:sz w:val="28"/>
                <w:szCs w:val="28"/>
                <w:lang w:eastAsia="zh-CN"/>
              </w:rPr>
              <w:t>→</w:t>
            </w:r>
            <w:r>
              <w:rPr>
                <w:rFonts w:hint="eastAsia" w:ascii="宋体" w:hAnsi="宋体" w:eastAsia="宋体"/>
                <w:sz w:val="28"/>
                <w:szCs w:val="28"/>
                <w:lang w:eastAsia="zh-CN"/>
              </w:rPr>
              <w:t>签订合同</w:t>
            </w:r>
            <w:r>
              <w:rPr>
                <w:rFonts w:ascii="宋体" w:hAnsi="宋体" w:eastAsia="宋体"/>
                <w:sz w:val="28"/>
                <w:szCs w:val="28"/>
                <w:lang w:eastAsia="zh-CN"/>
              </w:rPr>
              <w:t>→</w:t>
            </w:r>
            <w:r>
              <w:rPr>
                <w:rFonts w:hint="eastAsia" w:ascii="宋体" w:hAnsi="宋体" w:eastAsia="宋体"/>
                <w:sz w:val="28"/>
                <w:szCs w:val="28"/>
                <w:lang w:eastAsia="zh-CN"/>
              </w:rPr>
              <w:t>采购</w:t>
            </w:r>
            <w:r>
              <w:rPr>
                <w:rFonts w:ascii="宋体" w:hAnsi="宋体" w:eastAsia="宋体"/>
                <w:sz w:val="28"/>
                <w:szCs w:val="28"/>
                <w:lang w:eastAsia="zh-CN"/>
              </w:rPr>
              <w:t>→</w:t>
            </w:r>
            <w:r>
              <w:rPr>
                <w:rFonts w:hint="eastAsia" w:ascii="宋体" w:hAnsi="宋体" w:eastAsia="宋体"/>
                <w:sz w:val="28"/>
                <w:szCs w:val="28"/>
                <w:lang w:eastAsia="zh-CN"/>
              </w:rPr>
              <w:t>验收</w:t>
            </w:r>
            <w:r>
              <w:rPr>
                <w:rFonts w:ascii="宋体" w:hAnsi="宋体" w:eastAsia="宋体"/>
                <w:sz w:val="28"/>
                <w:szCs w:val="28"/>
                <w:lang w:eastAsia="zh-CN"/>
              </w:rPr>
              <w:t>→</w:t>
            </w:r>
            <w:r>
              <w:rPr>
                <w:rFonts w:hint="eastAsia" w:ascii="宋体" w:hAnsi="宋体" w:eastAsia="宋体"/>
                <w:sz w:val="28"/>
                <w:szCs w:val="28"/>
                <w:lang w:eastAsia="zh-CN"/>
              </w:rPr>
              <w:t>发货检验</w:t>
            </w:r>
            <w:r>
              <w:rPr>
                <w:rFonts w:ascii="宋体" w:hAnsi="宋体" w:eastAsia="宋体"/>
                <w:sz w:val="28"/>
                <w:szCs w:val="28"/>
                <w:lang w:eastAsia="zh-CN"/>
              </w:rPr>
              <w:t>→</w:t>
            </w:r>
            <w:r>
              <w:rPr>
                <w:rFonts w:hint="eastAsia" w:ascii="宋体" w:hAnsi="宋体" w:eastAsia="宋体"/>
                <w:sz w:val="28"/>
                <w:szCs w:val="28"/>
                <w:lang w:eastAsia="zh-CN"/>
              </w:rPr>
              <w:t>货物运输</w:t>
            </w:r>
            <w:r>
              <w:rPr>
                <w:rFonts w:ascii="宋体" w:hAnsi="宋体" w:eastAsia="宋体"/>
                <w:sz w:val="28"/>
                <w:szCs w:val="28"/>
                <w:lang w:eastAsia="zh-CN"/>
              </w:rPr>
              <w:t>→</w:t>
            </w:r>
            <w:r>
              <w:rPr>
                <w:rFonts w:hint="eastAsia" w:ascii="宋体" w:hAnsi="宋体" w:eastAsia="宋体"/>
                <w:sz w:val="28"/>
                <w:szCs w:val="28"/>
                <w:lang w:eastAsia="zh-CN"/>
              </w:rPr>
              <w:t>售后服务</w:t>
            </w:r>
            <w:r>
              <w:rPr>
                <w:rFonts w:ascii="宋体" w:hAnsi="宋体" w:eastAsia="宋体"/>
                <w:sz w:val="28"/>
                <w:szCs w:val="28"/>
                <w:lang w:eastAsia="zh-CN"/>
              </w:rPr>
              <w:t>→</w:t>
            </w:r>
            <w:r>
              <w:rPr>
                <w:rFonts w:hint="eastAsia" w:ascii="宋体" w:hAnsi="宋体" w:eastAsia="宋体"/>
                <w:sz w:val="28"/>
                <w:szCs w:val="28"/>
                <w:lang w:eastAsia="zh-CN"/>
              </w:rPr>
              <w:t>顾客满意度调查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2021年08月27日 下午至2021年08月28日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河北省保定市顺平县东方新城1号楼1单元702室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离心泵、螺杆泵、柱塞泵及配件的销售及</w:t>
            </w:r>
            <w:r>
              <w:rPr>
                <w:rFonts w:hint="eastAsia"/>
                <w:lang w:val="en-US" w:eastAsia="zh-CN"/>
              </w:rPr>
              <w:t>所涉及场所的</w:t>
            </w:r>
            <w:r>
              <w:rPr>
                <w:rFonts w:hint="eastAsia"/>
              </w:rPr>
              <w:t>相关</w:t>
            </w:r>
            <w:r>
              <w:rPr>
                <w:rFonts w:hint="eastAsia"/>
                <w:lang w:val="en-US" w:eastAsia="zh-CN"/>
              </w:rPr>
              <w:t>环境</w:t>
            </w:r>
            <w:r>
              <w:rPr>
                <w:rFonts w:hint="eastAsia"/>
              </w:rPr>
              <w:t>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 年</w:t>
            </w:r>
            <w:r>
              <w:rPr>
                <w:rFonts w:hint="eastAsia"/>
                <w:lang w:val="en-US" w:eastAsia="zh-CN"/>
              </w:rPr>
              <w:t>3</w:t>
            </w:r>
            <w:r>
              <w:rPr>
                <w:rFonts w:hint="eastAsia"/>
              </w:rPr>
              <w:t xml:space="preserve"> 月 </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宋体" w:hAnsi="宋体" w:cs="宋体"/>
                <w:color w:val="000000"/>
                <w:kern w:val="0"/>
                <w:szCs w:val="21"/>
              </w:rPr>
              <w:t>保定毓嘉泵业制造有限公司河北省保定市顺平县腰山镇正童村</w:t>
            </w:r>
          </w:p>
        </w:tc>
        <w:tc>
          <w:tcPr>
            <w:tcW w:w="2267" w:type="dxa"/>
          </w:tcPr>
          <w:p>
            <w:pPr>
              <w:widowControl/>
              <w:jc w:val="left"/>
              <w:rPr>
                <w:rFonts w:ascii="宋体" w:hAnsi="宋体" w:cs="宋体"/>
                <w:color w:val="000000"/>
                <w:kern w:val="0"/>
                <w:szCs w:val="21"/>
              </w:rPr>
            </w:pPr>
            <w:bookmarkStart w:id="31" w:name="生产地址"/>
            <w:r>
              <w:rPr>
                <w:rFonts w:ascii="宋体" w:hAnsi="宋体" w:cs="宋体"/>
                <w:color w:val="000000"/>
                <w:kern w:val="0"/>
                <w:szCs w:val="21"/>
              </w:rPr>
              <w:t>河北省保定市顺平县东方新城1号楼1单元702室</w:t>
            </w:r>
            <w:bookmarkEnd w:id="31"/>
          </w:p>
          <w:p>
            <w:pPr>
              <w:rPr>
                <w:lang w:val="de-DE" w:eastAsia="ja-JP"/>
              </w:rPr>
            </w:pP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rFonts w:hint="eastAsia"/>
              </w:rPr>
              <w:t>离心泵、螺杆泵、柱塞泵及配件的销售及</w:t>
            </w:r>
            <w:r>
              <w:rPr>
                <w:rFonts w:hint="eastAsia"/>
                <w:lang w:val="en-US" w:eastAsia="zh-CN"/>
              </w:rPr>
              <w:t>所涉及场所的</w:t>
            </w:r>
            <w:r>
              <w:rPr>
                <w:rFonts w:hint="eastAsia"/>
              </w:rPr>
              <w:t>相关</w:t>
            </w:r>
            <w:r>
              <w:rPr>
                <w:rFonts w:hint="eastAsia"/>
                <w:lang w:val="en-US" w:eastAsia="zh-CN"/>
              </w:rPr>
              <w:t>环境</w:t>
            </w:r>
            <w:r>
              <w:rPr>
                <w:rFonts w:hint="eastAsia"/>
              </w:rPr>
              <w:t>管理活动</w:t>
            </w:r>
          </w:p>
        </w:tc>
        <w:tc>
          <w:tcPr>
            <w:tcW w:w="669" w:type="dxa"/>
            <w:vAlign w:val="center"/>
          </w:tcPr>
          <w:p>
            <w:pPr>
              <w:rPr>
                <w:rFonts w:hint="default" w:eastAsia="宋体"/>
                <w:lang w:val="en-US" w:eastAsia="zh-CN"/>
              </w:rPr>
            </w:pPr>
            <w:r>
              <w:rPr>
                <w:rFonts w:hint="eastAsia"/>
                <w:lang w:val="en-US" w:eastAsia="zh-CN"/>
              </w:rPr>
              <w:t>顾客要求</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rPr>
        <w:sym w:font="Wingdings 2" w:char="0052"/>
      </w:r>
      <w:r>
        <w:rPr>
          <w:rFonts w:hint="eastAsia"/>
        </w:rPr>
        <w:t>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pPr>
        <w:rPr>
          <w:rFonts w:hint="eastAsia"/>
        </w:rPr>
      </w:pPr>
    </w:p>
    <w:p>
      <w:pPr>
        <w:rPr>
          <w:rFonts w:hint="eastAsia"/>
        </w:rPr>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cs="Times New Roman" w:asciiTheme="minorEastAsia" w:hAnsiTheme="minorEastAsia" w:eastAsiaTheme="minorEastAsia"/>
                <w:sz w:val="20"/>
              </w:rPr>
              <w:t>离心泵、螺杆泵、柱塞泵及配件的销售所涉及场所的相关环境管理活动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751840" cy="153035"/>
                          </a:xfrm>
                          <a:prstGeom prst="rect">
                            <a:avLst/>
                          </a:prstGeom>
                          <a:noFill/>
                          <a:ln>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2021.8.28</w:t>
            </w:r>
          </w:p>
        </w:tc>
      </w:tr>
    </w:tbl>
    <w:p/>
    <w:p/>
    <w:p>
      <w:pPr>
        <w:numPr>
          <w:ilvl w:val="0"/>
          <w:numId w:val="2"/>
        </w:numPr>
        <w:rPr>
          <w:rFonts w:hint="eastAsia"/>
        </w:rPr>
      </w:pPr>
      <w:r>
        <w:rPr>
          <w:rFonts w:hint="eastAsia"/>
        </w:rPr>
        <w:t>审核报告的发放范围：</w:t>
      </w:r>
    </w:p>
    <w:p>
      <w:pPr>
        <w:numPr>
          <w:ilvl w:val="0"/>
          <w:numId w:val="0"/>
        </w:numPr>
      </w:pPr>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hd w:val="clear" w:color="auto" w:fill="EBF1DE" w:themeFill="accent3" w:themeFillTint="32"/>
      </w:pPr>
      <w:r>
        <w:t>附件 ISO 14001:2015 (若不是ISO 14001:2015审核请删除)</w:t>
      </w:r>
    </w:p>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□文化  </w:t>
                  </w:r>
                  <w:r>
                    <w:rPr>
                      <w:rFonts w:hint="eastAsia"/>
                    </w:rPr>
                    <w:sym w:font="Wingdings 2" w:char="0052"/>
                  </w:r>
                  <w:r>
                    <w:rPr>
                      <w:rFonts w:hint="eastAsia"/>
                    </w:rPr>
                    <w:t xml:space="preserve">知识 □绩效 □工艺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□生产 □检验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□危化品管理 □特种设备管理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最高管理者制定了文件化的管理体系方针：</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 </w:t>
            </w:r>
            <w:r>
              <w:rPr>
                <w:rFonts w:hint="eastAsia"/>
                <w:u w:val="single"/>
              </w:rPr>
              <w:t xml:space="preserve">                节能降耗；预防污染； 遵纪守法；持续改进；保护环境；造福社会。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eastAsia"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eastAsia"/>
                    </w:rPr>
                  </w:pPr>
                  <w:r>
                    <w:rPr>
                      <w:rFonts w:hint="eastAsia"/>
                    </w:rPr>
                    <w:t>人员素质参差不齐，环保意识不强，对岗位环境因素认识不足，控制方法不明确</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适用环境法律法规的识别、收集及宣传不够，相对应公司内部活动及环境因素不够明确，部份员工守法意识淡薄</w:t>
                  </w:r>
                </w:p>
              </w:tc>
              <w:tc>
                <w:tcPr>
                  <w:tcW w:w="3965" w:type="dxa"/>
                  <w:vAlign w:val="center"/>
                </w:tcPr>
                <w:p>
                  <w:pPr>
                    <w:spacing w:before="156"/>
                    <w:jc w:val="both"/>
                    <w:rPr>
                      <w:rFonts w:hint="eastAsia" w:ascii="Times New Roman" w:hAnsi="Times New Roman" w:eastAsia="宋体" w:cs="Times New Roman"/>
                      <w:kern w:val="2"/>
                      <w:sz w:val="22"/>
                      <w:szCs w:val="22"/>
                      <w:lang w:val="en-US" w:eastAsia="zh-CN" w:bidi="ar-SA"/>
                    </w:rPr>
                  </w:pPr>
                  <w:r>
                    <w:rPr>
                      <w:rFonts w:ascii="Comic Sans MS" w:hAnsi="DFKai-SB" w:eastAsia="宋体"/>
                      <w:lang w:eastAsia="zh-CN"/>
                    </w:rPr>
                    <w:t>制定相应程序文件，组织员工参与岗位环境因素的识别，岗位重要因素的培训</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suppressLineNumbers w:val="0"/>
                    <w:spacing w:before="0" w:beforeAutospacing="0" w:after="0" w:afterAutospacing="0"/>
                    <w:ind w:left="0" w:right="0"/>
                    <w:jc w:val="center"/>
                    <w:rPr>
                      <w:rFonts w:hint="eastAsia"/>
                    </w:rPr>
                  </w:pPr>
                  <w:r>
                    <w:rPr>
                      <w:rFonts w:hint="eastAsia"/>
                    </w:rPr>
                    <w:t>人员素质参差不齐，环保意识不强，对岗位环境因素认识不足，控制方法不明确</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2"/>
                      <w:szCs w:val="22"/>
                      <w:lang w:val="en-US" w:eastAsia="zh-CN" w:bidi="ar-SA"/>
                    </w:rPr>
                  </w:pPr>
                  <w:r>
                    <w:rPr>
                      <w:rFonts w:hint="eastAsia"/>
                    </w:rPr>
                    <w:t>适用环境法律法规的识别、收集及宣传不够，相对应公司内部活动及环境因素不够明确，部份员工守法意识淡薄</w:t>
                  </w:r>
                </w:p>
              </w:tc>
              <w:tc>
                <w:tcPr>
                  <w:tcW w:w="3965" w:type="dxa"/>
                  <w:vAlign w:val="center"/>
                </w:tcPr>
                <w:p>
                  <w:pPr>
                    <w:spacing w:before="156"/>
                    <w:jc w:val="both"/>
                    <w:rPr>
                      <w:rFonts w:hint="default"/>
                    </w:rPr>
                  </w:pPr>
                  <w:r>
                    <w:rPr>
                      <w:rFonts w:ascii="Comic Sans MS" w:hAnsi="DFKai-SB" w:eastAsia="宋体"/>
                      <w:lang w:eastAsia="zh-CN"/>
                    </w:rPr>
                    <w:t>加强识别、收集，定期更新，重要条款予以培训或纳入制度中</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lang w:val="en-US" w:eastAsia="zh-CN"/>
                    </w:rPr>
                    <w:t>100%</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重要环境因素包括(必要时，按每个场所来描述):（不必全选）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52"/>
            </w:r>
            <w:r>
              <w:rPr>
                <w:rFonts w:hint="eastAsia"/>
              </w:rPr>
              <w:t xml:space="preserve">资源消耗 □废水排放  □废气排放 □粉尘排放  □危废排放 □噪声排放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□环境影响报告表日期：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□环境影响报告书日期：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□污水处理  □除尘设备 □设备降噪  □危废合法处置 □使用节能设备  □危化品控制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eastAsia"/>
                    </w:rPr>
                  </w:pPr>
                  <w:r>
                    <w:rPr>
                      <w:rFonts w:hint="eastAsia"/>
                    </w:rPr>
                    <w:t>固体废物100%分类处置</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136"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eastAsia"/>
                      <w:lang w:val="en-GB"/>
                    </w:rPr>
                  </w:pPr>
                  <w:r>
                    <w:rPr>
                      <w:rFonts w:hint="eastAsia"/>
                      <w:lang w:val="en-GB"/>
                    </w:rPr>
                    <w:t>1 严格按照固体分类设置可回收、不可回收、固体废弃物存放处</w:t>
                  </w:r>
                </w:p>
                <w:p>
                  <w:pPr>
                    <w:keepNext w:val="0"/>
                    <w:keepLines w:val="0"/>
                    <w:suppressLineNumbers w:val="0"/>
                    <w:shd w:val="clear" w:color="auto" w:fill="EBF1DE" w:themeFill="accent3" w:themeFillTint="32"/>
                    <w:spacing w:before="0" w:beforeAutospacing="0" w:after="0" w:afterAutospacing="0"/>
                    <w:ind w:left="0" w:right="0"/>
                    <w:rPr>
                      <w:rFonts w:hint="eastAsia"/>
                      <w:lang w:val="en-GB"/>
                    </w:rPr>
                  </w:pPr>
                  <w:r>
                    <w:rPr>
                      <w:rFonts w:hint="eastAsia"/>
                      <w:lang w:val="en-GB"/>
                    </w:rPr>
                    <w:t>2 办公区域实行袋装化，定点集中处理</w:t>
                  </w:r>
                </w:p>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lang w:val="en-GB"/>
                    </w:rPr>
                    <w:t>3 执行《固体废弃物的管理办法》</w:t>
                  </w:r>
                </w:p>
              </w:tc>
              <w:tc>
                <w:tcPr>
                  <w:tcW w:w="1350" w:type="dxa"/>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全公司</w:t>
                  </w:r>
                </w:p>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ascii="宋体" w:hAnsi="宋体"/>
                      <w:szCs w:val="21"/>
                    </w:rPr>
                    <w:t>所有人员</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Times New Roman" w:hAnsi="Times New Roman" w:eastAsia="宋体" w:cs="Times New Roman"/>
                      <w:kern w:val="2"/>
                      <w:sz w:val="24"/>
                      <w:szCs w:val="24"/>
                      <w:lang w:val="en-US" w:eastAsia="zh-CN" w:bidi="ar-SA"/>
                    </w:rPr>
                  </w:pPr>
                  <w:r>
                    <w:rPr>
                      <w:rFonts w:hint="eastAsia"/>
                    </w:rPr>
                    <w:t>火灾事故发生率为零</w:t>
                  </w: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1 根据实际需要，合理配置消防灭火器</w:t>
                  </w:r>
                </w:p>
                <w:p>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2制定火灾应急预案，成立火灾应急小组，定期进行消防演习</w:t>
                  </w:r>
                </w:p>
                <w:p>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3 采取教育和警示办法，组织员工安全知识培训</w:t>
                  </w:r>
                </w:p>
                <w:p>
                  <w:pPr>
                    <w:keepNext w:val="0"/>
                    <w:keepLines w:val="0"/>
                    <w:suppressLineNumbers w:val="0"/>
                    <w:spacing w:before="0" w:beforeAutospacing="0" w:after="0" w:afterAutospacing="0" w:line="400" w:lineRule="exact"/>
                    <w:ind w:left="0" w:right="0"/>
                    <w:rPr>
                      <w:rFonts w:hint="eastAsia" w:ascii="宋体" w:hAnsi="宋体"/>
                      <w:szCs w:val="21"/>
                    </w:rPr>
                  </w:pPr>
                </w:p>
                <w:p>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4 定期检查维护消防器材的运行，保存好记录，保证消防设施正常使用</w:t>
                  </w:r>
                </w:p>
                <w:p>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5执行相关国家规定，对办公室各种线路检查整理使之处于安全状态</w:t>
                  </w:r>
                </w:p>
                <w:p>
                  <w:pPr>
                    <w:keepNext w:val="0"/>
                    <w:keepLines w:val="0"/>
                    <w:suppressLineNumbers w:val="0"/>
                    <w:spacing w:before="0" w:beforeAutospacing="0" w:after="0" w:afterAutospacing="0" w:line="400" w:lineRule="exact"/>
                    <w:ind w:left="0" w:right="0"/>
                    <w:rPr>
                      <w:rFonts w:hint="eastAsia" w:ascii="宋体" w:hAnsi="宋体" w:eastAsia="宋体" w:cs="Times New Roman"/>
                      <w:kern w:val="2"/>
                      <w:sz w:val="21"/>
                      <w:szCs w:val="21"/>
                      <w:lang w:val="en-US" w:eastAsia="zh-CN" w:bidi="ar-SA"/>
                    </w:rPr>
                  </w:pPr>
                  <w:r>
                    <w:rPr>
                      <w:rFonts w:hint="eastAsia" w:ascii="宋体" w:hAnsi="宋体"/>
                      <w:szCs w:val="21"/>
                    </w:rPr>
                    <w:t xml:space="preserve">6加强易燃品的管理 </w:t>
                  </w:r>
                </w:p>
              </w:tc>
              <w:tc>
                <w:tcPr>
                  <w:tcW w:w="1350" w:type="dxa"/>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全公司</w:t>
                  </w:r>
                </w:p>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szCs w:val="21"/>
                    </w:rPr>
                    <w:t>所有人员</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已完成</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组织应确定并配备所需的</w:t>
            </w:r>
            <w:r>
              <w:rPr>
                <w:rFonts w:hint="eastAsia"/>
              </w:rPr>
              <w:t>管理人员、技术</w:t>
            </w:r>
            <w:r>
              <w:rPr>
                <w:rFonts w:hint="default"/>
              </w:rPr>
              <w:t>人员</w:t>
            </w:r>
            <w:r>
              <w:rPr>
                <w:rFonts w:hint="eastAsia"/>
              </w:rPr>
              <w:t>和生产操作/服务提供人员：</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w:t>
            </w:r>
            <w:r>
              <w:rPr>
                <w:rFonts w:hint="eastAsia"/>
              </w:rPr>
              <w:t>人力</w:t>
            </w:r>
            <w:r>
              <w:rPr>
                <w:rFonts w:hint="default"/>
              </w:rPr>
              <w:t>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人力</w:t>
            </w:r>
            <w:r>
              <w:rPr>
                <w:rFonts w:hint="default"/>
              </w:rP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人力</w:t>
            </w:r>
            <w:r>
              <w:rPr>
                <w:rFonts w:hint="default"/>
              </w:rPr>
              <w:t>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组织应确定、提供并维护所需的基础设施情况：</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US" w:eastAsia="zh-CN"/>
              </w:rPr>
              <w:t>办公</w:t>
            </w:r>
            <w:r>
              <w:rPr>
                <w:rFonts w:hint="eastAsia"/>
              </w:rPr>
              <w:t>面积</w:t>
            </w:r>
            <w:r>
              <w:rPr>
                <w:rFonts w:hint="eastAsia"/>
                <w:u w:val="single"/>
              </w:rPr>
              <w:t xml:space="preserve"> </w:t>
            </w:r>
            <w:r>
              <w:rPr>
                <w:rFonts w:hint="eastAsia"/>
                <w:u w:val="single"/>
                <w:lang w:val="en-US" w:eastAsia="zh-CN"/>
              </w:rPr>
              <w:t>约100</w:t>
            </w:r>
            <w:r>
              <w:rPr>
                <w:rFonts w:hint="eastAsia"/>
                <w:u w:val="single"/>
              </w:rPr>
              <w:t xml:space="preserve">     </w:t>
            </w:r>
            <w:r>
              <w:rPr>
                <w:rFonts w:hint="eastAsia"/>
              </w:rPr>
              <w:t>平方米；</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主要</w:t>
            </w:r>
            <w:r>
              <w:rPr>
                <w:rFonts w:hint="eastAsia"/>
                <w:lang w:val="en-US" w:eastAsia="zh-CN"/>
              </w:rPr>
              <w:t>办公</w:t>
            </w:r>
            <w:r>
              <w:rPr>
                <w:rFonts w:hint="eastAsia"/>
              </w:rPr>
              <w:t>设备有：</w:t>
            </w:r>
            <w:r>
              <w:rPr>
                <w:rFonts w:hint="eastAsia"/>
                <w:u w:val="single"/>
              </w:rPr>
              <w:t>电脑、电话、一体机、办公桌椅；          （列举2~4种）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主要环保设备有：</w:t>
            </w:r>
            <w:r>
              <w:rPr>
                <w:rFonts w:hint="eastAsia"/>
                <w:u w:val="single"/>
              </w:rPr>
              <w:t xml:space="preserve">          </w:t>
            </w:r>
            <w:r>
              <w:rPr>
                <w:rFonts w:hint="eastAsia"/>
                <w:u w:val="single"/>
                <w:lang w:val="en-US" w:eastAsia="zh-CN"/>
              </w:rPr>
              <w:t>消火栓、灭火器</w:t>
            </w:r>
            <w:r>
              <w:rPr>
                <w:rFonts w:hint="eastAsia"/>
                <w:u w:val="single"/>
              </w:rPr>
              <w:t xml:space="preserve">                （列举2~4种）</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keepNext w:val="0"/>
              <w:keepLines w:val="0"/>
              <w:suppressLineNumbers w:val="0"/>
              <w:shd w:val="clear" w:color="auto" w:fill="EBF1DE" w:themeFill="accent3" w:themeFillTint="32"/>
              <w:spacing w:before="0" w:beforeAutospacing="0" w:after="0" w:afterAutospacing="0"/>
              <w:ind w:left="0" w:right="0" w:firstLine="1050" w:firstLineChars="500"/>
              <w:rPr>
                <w:rFonts w:hint="default"/>
              </w:rPr>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w:t>
            </w:r>
            <w:r>
              <w:rPr>
                <w:rFonts w:hint="eastAsia"/>
              </w:rPr>
              <w:t>基础设施可满足环境管理体系运行；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基础设施可基本满足环境管理体系运行，但是还有不足需要补充：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□组织</w:t>
            </w:r>
            <w:r>
              <w:rPr>
                <w:rFonts w:hint="default"/>
              </w:rPr>
              <w:t>现有</w:t>
            </w:r>
            <w:r>
              <w:rPr>
                <w:rFonts w:hint="eastAsia"/>
              </w:rPr>
              <w:t>基础设施完全不能满足环境管理体系运行，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■工艺流程图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能源消耗</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检查水、电消耗达标情况</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资源消耗</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检查纸张、办公用品的使用情况</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废水排放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废气排放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噪声排放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固废排放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粉尘排放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火灾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运行检查，查出消防隐患及时整改</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隐患已整改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其他</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消防火灾事故</w:t>
            </w:r>
            <w:r>
              <w:rPr>
                <w:rFonts w:hint="eastAsia"/>
                <w:u w:val="single"/>
              </w:rPr>
              <w:t xml:space="preserve">        </w:t>
            </w:r>
            <w:r>
              <w:rPr>
                <w:rFonts w:hint="eastAsia"/>
              </w:rPr>
              <w:t xml:space="preserve">的演练；并总结了预案的可行性和有效性。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《环境监测报告》编号：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12-13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若是组织多场所/临时场所：（按照组织的实际情况选择）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内审贯穿了多场所/临时现场，内审的验证结论是正面的。管理者代表相应的职权覆盖了所有的场所。）</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若是多班次操作：（按照组织的实际情况选择）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对所有班次的现场操作已审核。</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24E8F784"/>
    <w:multiLevelType w:val="singleLevel"/>
    <w:tmpl w:val="24E8F784"/>
    <w:lvl w:ilvl="0" w:tentative="0">
      <w:start w:val="1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446ECD"/>
    <w:rsid w:val="20FA7E1D"/>
    <w:rsid w:val="2F383B3B"/>
    <w:rsid w:val="3DB95B69"/>
    <w:rsid w:val="5DC83F99"/>
    <w:rsid w:val="67962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2021-08-28T09:34:45Z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