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740" w:tblpY="81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146"/>
        <w:gridCol w:w="1839"/>
        <w:gridCol w:w="36"/>
        <w:gridCol w:w="148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56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浙江嘉顿木业有限公司</w:t>
            </w:r>
            <w:bookmarkEnd w:id="7"/>
          </w:p>
        </w:tc>
        <w:tc>
          <w:tcPr>
            <w:tcW w:w="148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下料→加工→组装→打磨→油漆→检验→包装→入库；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6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关键控制点：加工、油漆。按照策划的作业指导书作业。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  <w:r>
              <w:rPr>
                <w:rFonts w:hint="eastAsia" w:ascii="宋体" w:hAnsi="宋体"/>
                <w:spacing w:val="-8"/>
                <w:szCs w:val="24"/>
              </w:rPr>
              <w:t>重大危险源：火灾、触电、机械伤害、噪声伤害、粉尘伤害等；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控制措施：选用低噪声设备，合理布局，隔声减震；设备、电路定期检修、不定期检查，提高安全意识；做好火灾预防措施。一旦发生按相关应急预案执行；布袋除尘器，加强个体防护。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中华人民共和国安全生产法、劳动法、职业病防治法、GB/T3324-2017木</w:t>
            </w:r>
            <w:r>
              <w:rPr>
                <w:rFonts w:hint="eastAsia" w:ascii="宋体" w:hAnsi="宋体"/>
                <w:spacing w:val="-8"/>
                <w:szCs w:val="24"/>
              </w:rPr>
              <w:t>家具通用技术标准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pacing w:val="-8"/>
                <w:szCs w:val="24"/>
              </w:rPr>
              <w:t>外观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rFonts w:ascii="宋体" w:hAnsi="宋体"/>
                <w:spacing w:val="-8"/>
                <w:szCs w:val="24"/>
              </w:rPr>
              <w:t>尺寸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szCs w:val="24"/>
              </w:rPr>
              <w:t>有</w:t>
            </w:r>
            <w:r>
              <w:rPr>
                <w:rFonts w:hint="eastAsia"/>
                <w:szCs w:val="24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Cs w:val="24"/>
              </w:rPr>
              <w:t>审核技巧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9" w:name="_GoBack"/>
      <w:bookmarkEnd w:id="9"/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C6B2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2021-09-20T08:50:57Z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