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888-2021-Q</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杭州迈科瑞科技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林兵</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330109MA2GNU7QXU</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14</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杭州迈科瑞科技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微反应器和微换热器的研发、制造</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浙江省杭州市萧山区所前镇所前中路1100号2幢</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浙江省杭州市萧山区所前镇所前中路1100号2幢</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杭州迈科瑞科技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浙江省杭州市萧山区所前镇所前中路1100号2幢</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