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91"/>
        <w:gridCol w:w="1314"/>
        <w:gridCol w:w="195"/>
        <w:gridCol w:w="824"/>
        <w:gridCol w:w="701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011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北京市迅捷颐和汽车销售服务中心</w:t>
            </w:r>
            <w:bookmarkEnd w:id="7"/>
          </w:p>
        </w:tc>
        <w:tc>
          <w:tcPr>
            <w:tcW w:w="233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Q：29.01.01;29.02.00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E：29.01.01;29.02.00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O：29.01.01;29.02.00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O：29.02.00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汽车维修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流程：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    </w:t>
            </w:r>
            <w:bookmarkStart w:id="9" w:name="_GoBack"/>
            <w:r>
              <w:rPr>
                <w:rFonts w:hint="eastAsia"/>
                <w:b/>
                <w:sz w:val="20"/>
                <w:szCs w:val="22"/>
              </w:rPr>
              <w:t>进厂接待------- 与客户沟通故障问题----故障检查确定故障原因-----与客户交代故障原因，及故障更换的零部件和所需费用-----填写前台接待单——客户确认签字---派工------维修------自检----- 客户验收------填写维修结算单——付款</w:t>
            </w:r>
            <w:bookmarkEnd w:id="9"/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专业管理制度、汽车维修人员资质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工艺管理规程；计划统计管理制度；安全管理制度；环保管理制度；质量管理制度；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设备管理制度；物资管理制度；人力资源管理制度；行政管理制度；产品检验标准等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重大环境因素：火灾，固废排放；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控制措施：培训、检查、提供个人环保及安全意识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不可接受风险：火灾，触电、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意外</w:t>
            </w:r>
            <w:r>
              <w:rPr>
                <w:rFonts w:hint="eastAsia"/>
                <w:b/>
                <w:sz w:val="20"/>
                <w:szCs w:val="22"/>
              </w:rPr>
              <w:t>伤害；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危险源有</w:t>
            </w:r>
            <w:r>
              <w:rPr>
                <w:rFonts w:hint="eastAsia"/>
                <w:b/>
                <w:sz w:val="20"/>
                <w:szCs w:val="22"/>
              </w:rPr>
              <w:t>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控制措施：培训、检查、提供个人环保及安全意识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相关法律法规的要求及产品标准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DB11/ 1228-2015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  <w:r>
              <w:rPr>
                <w:rFonts w:hint="eastAsia"/>
                <w:b/>
                <w:sz w:val="20"/>
                <w:szCs w:val="22"/>
              </w:rPr>
              <w:t xml:space="preserve"> 汽车维修业大气污染物排放标准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  <w:r>
              <w:rPr>
                <w:rFonts w:hint="eastAsia"/>
                <w:b/>
                <w:sz w:val="20"/>
                <w:szCs w:val="22"/>
              </w:rPr>
              <w:t xml:space="preserve"> DB11/T 1265-2015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  <w:r>
              <w:rPr>
                <w:rFonts w:hint="eastAsia"/>
                <w:b/>
                <w:sz w:val="20"/>
                <w:szCs w:val="22"/>
              </w:rPr>
              <w:t xml:space="preserve"> 清洁生产评价指标体系 汽车维修及拆解业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DB11/T 1426-2017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  <w:r>
              <w:rPr>
                <w:rFonts w:hint="eastAsia"/>
                <w:b/>
                <w:sz w:val="20"/>
                <w:szCs w:val="22"/>
              </w:rPr>
              <w:t xml:space="preserve"> 汽车维修业污染防治技术规范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 GB/T 16739.1-2014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  <w:r>
              <w:rPr>
                <w:rFonts w:hint="eastAsia"/>
                <w:b/>
                <w:sz w:val="20"/>
                <w:szCs w:val="22"/>
              </w:rPr>
              <w:t xml:space="preserve"> 汽车维修业开业条件 第1部分：汽车整车维修企业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  <w:r>
              <w:rPr>
                <w:rFonts w:hint="eastAsia"/>
                <w:b/>
                <w:sz w:val="20"/>
                <w:szCs w:val="22"/>
              </w:rPr>
              <w:t xml:space="preserve"> GB/T 16739.2-2014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  <w:r>
              <w:rPr>
                <w:rFonts w:hint="eastAsia"/>
                <w:b/>
                <w:sz w:val="20"/>
                <w:szCs w:val="22"/>
              </w:rPr>
              <w:t xml:space="preserve"> 汽车维修业开业条件 第2部分：汽车综合小修及专项维修业户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满足使用要求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302C29"/>
    <w:rsid w:val="08013AE2"/>
    <w:rsid w:val="0E971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2021-08-27T03:05:21Z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