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重庆瞰扬机电设备有限公司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17.10.02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9" w:name="_GoBack"/>
            <w:r>
              <w:rPr>
                <w:rFonts w:hint="eastAsia" w:ascii="宋体" w:hAnsi="宋体"/>
                <w:sz w:val="21"/>
                <w:szCs w:val="21"/>
              </w:rPr>
              <w:t>顾客来料（坯件）—机加工（铣面、镗孔、钻孔、攻丝）——总检——入库</w:t>
            </w:r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主要质量要求：尺寸、外观质量等；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关键控制点：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机</w:t>
            </w:r>
            <w:r>
              <w:rPr>
                <w:rFonts w:hint="eastAsia" w:ascii="宋体" w:hAnsi="宋体"/>
                <w:sz w:val="21"/>
                <w:szCs w:val="21"/>
              </w:rPr>
              <w:t>加工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尺寸</w:t>
            </w:r>
            <w:r>
              <w:rPr>
                <w:rFonts w:hint="eastAsia" w:ascii="宋体" w:hAnsi="宋体"/>
                <w:sz w:val="21"/>
                <w:szCs w:val="21"/>
              </w:rPr>
              <w:t>控制。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生产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过程中的风险为：尺寸、外观。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按《作业指导书》及客户提供图纸生产。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ind w:firstLine="1205" w:firstLineChars="600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ind w:firstLine="1200" w:firstLineChars="600"/>
              <w:jc w:val="left"/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GB/T 1804-2000一般公差 未注公差的线性和角度尺寸公差、GB/T 1008-2008 机械加工工艺装备基本术语、JB/T 12392-2015机械加工工艺参数表示法、产品图纸及工艺卡等标准和客户要求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检验项目为：尺寸、外观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等</w:t>
            </w: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无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81280</wp:posOffset>
                  </wp:positionV>
                  <wp:extent cx="488315" cy="369570"/>
                  <wp:effectExtent l="0" t="0" r="6985" b="11430"/>
                  <wp:wrapNone/>
                  <wp:docPr id="1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2021年08月23日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33655</wp:posOffset>
                  </wp:positionV>
                  <wp:extent cx="502920" cy="381000"/>
                  <wp:effectExtent l="0" t="0" r="5080" b="0"/>
                  <wp:wrapNone/>
                  <wp:docPr id="2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2021年08月23日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1D4FD7"/>
    <w:rsid w:val="567A11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2021-08-23T06:45:23Z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