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0182-2019-2021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GTKJ/GFJL-01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测量过程规范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25-37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Cambria Math" w:hAnsi="Cambria Math" w:cs="Cambria Math"/>
              </w:rPr>
              <w:t>1、测量设备最大允差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tabs>
                <w:tab w:val="center" w:pos="4357"/>
              </w:tabs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5080</wp:posOffset>
                  </wp:positionV>
                  <wp:extent cx="775970" cy="227330"/>
                  <wp:effectExtent l="0" t="0" r="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      = 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1.33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tabs>
                <w:tab w:val="center" w:pos="4357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>探管硬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洛</w:t>
            </w:r>
            <w:r>
              <w:rPr>
                <w:rFonts w:hint="eastAsia"/>
                <w:sz w:val="21"/>
                <w:szCs w:val="21"/>
              </w:rPr>
              <w:t>氏硬度计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/W-20A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（25-110）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HRE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HK2009162367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0000FF"/>
                <w:szCs w:val="21"/>
              </w:rPr>
              <w:t>计量要求</w:t>
            </w:r>
            <w:r>
              <w:rPr>
                <w:rFonts w:hint="eastAsia"/>
                <w:szCs w:val="21"/>
              </w:rPr>
              <w:t>的测量范围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，满足于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szCs w:val="21"/>
              </w:rPr>
              <w:t>最大允许误差</w:t>
            </w:r>
            <w: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的要求；</w:t>
            </w:r>
          </w:p>
          <w:p>
            <w:pPr>
              <w:tabs>
                <w:tab w:val="center" w:pos="4357"/>
              </w:tabs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于博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2945" cy="257175"/>
                  <wp:effectExtent l="0" t="0" r="8255" b="9525"/>
                  <wp:docPr id="4" name="图片 4" descr="81c10b299a65b9524ef926af390ed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1c10b299a65b9524ef926af390ed5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217" t="52415" r="14231" b="3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2945" cy="257175"/>
                  <wp:effectExtent l="0" t="0" r="8255" b="9525"/>
                  <wp:docPr id="6" name="图片 6" descr="81c10b299a65b9524ef926af390ed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1c10b299a65b9524ef926af390ed5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217" t="52415" r="14231" b="3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52D1"/>
    <w:rsid w:val="0FAF4D47"/>
    <w:rsid w:val="14C87B68"/>
    <w:rsid w:val="208D3D89"/>
    <w:rsid w:val="303B444C"/>
    <w:rsid w:val="39691D2A"/>
    <w:rsid w:val="46DA35A2"/>
    <w:rsid w:val="558A3F14"/>
    <w:rsid w:val="664B1069"/>
    <w:rsid w:val="6ED60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2021-08-27T02:10:03Z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72FEC3160ECE4BE88838568BBAEAB785</vt:lpwstr>
  </property>
</Properties>
</file>