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0367-2020-QJEO-2021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河北迎策电力工程有限公司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河北迎策电力工程有限公司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石家庄市裕华区槐安东路158号鑫科国际广场A座1102室</w:t>
            </w:r>
            <w:bookmarkEnd w:id="5"/>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办公地址"/>
            <w:r>
              <w:t>石家庄市裕华区槐安东路158号鑫科国际广场A座1102室</w:t>
            </w:r>
            <w:bookmarkEnd w:id="7"/>
          </w:p>
        </w:tc>
        <w:tc>
          <w:tcPr>
            <w:tcW w:w="1242" w:type="dxa"/>
            <w:vMerge w:val="continue"/>
            <w:vAlign w:val="center"/>
          </w:tcPr>
          <w:p/>
        </w:tc>
        <w:tc>
          <w:tcPr>
            <w:tcW w:w="1771" w:type="dxa"/>
          </w:tcPr>
          <w:p>
            <w:bookmarkStart w:id="8" w:name="办公邮编"/>
            <w: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宋佳盛</w:t>
            </w:r>
            <w:bookmarkEnd w:id="9"/>
          </w:p>
        </w:tc>
        <w:tc>
          <w:tcPr>
            <w:tcW w:w="1313" w:type="dxa"/>
            <w:vAlign w:val="center"/>
          </w:tcPr>
          <w:p>
            <w:r>
              <w:rPr>
                <w:rFonts w:hint="eastAsia"/>
              </w:rPr>
              <w:t>电话.</w:t>
            </w:r>
          </w:p>
        </w:tc>
        <w:tc>
          <w:tcPr>
            <w:tcW w:w="2180" w:type="dxa"/>
            <w:vAlign w:val="center"/>
          </w:tcPr>
          <w:p>
            <w:bookmarkStart w:id="10" w:name="联系人电话"/>
            <w:r>
              <w:t>15203217980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张鹏</w:t>
            </w:r>
            <w:bookmarkEnd w:id="12"/>
          </w:p>
        </w:tc>
        <w:tc>
          <w:tcPr>
            <w:tcW w:w="1313" w:type="dxa"/>
            <w:vAlign w:val="center"/>
          </w:tcPr>
          <w:p>
            <w:r>
              <w:rPr>
                <w:rFonts w:hint="eastAsia"/>
              </w:rPr>
              <w:t>管理者代表</w:t>
            </w:r>
          </w:p>
        </w:tc>
        <w:tc>
          <w:tcPr>
            <w:tcW w:w="2180" w:type="dxa"/>
          </w:tcPr>
          <w:p>
            <w:bookmarkStart w:id="13" w:name="管理者代表"/>
            <w:r>
              <w:t>宋佳盛</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b w:val="0"/>
                <w:bCs w:val="0"/>
                <w:color w:val="000000"/>
                <w:sz w:val="20"/>
                <w:szCs w:val="20"/>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单塔验收→按要求撤场，进入下一吊装现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2021年08月26日 上午至2021年08月28日 上午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r>
              <w:rPr>
                <w:rFonts w:hint="eastAsia"/>
              </w:rPr>
              <w:t xml:space="preserve">    </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一</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石家庄市裕华区槐安东路158号鑫科国际广场A座1102室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EC：资质范围内的特种工程（特种设备的起重吊装）专业承包</w:t>
            </w:r>
          </w:p>
          <w:p>
            <w:pPr>
              <w:rPr>
                <w:rFonts w:hint="eastAsia"/>
              </w:rPr>
            </w:pPr>
            <w:r>
              <w:rPr>
                <w:rFonts w:hint="eastAsia"/>
              </w:rPr>
              <w:t>E：资质范围内的特种工程（特种设备的起重吊装）专业承包及相关环境管理活动</w:t>
            </w:r>
          </w:p>
          <w:p>
            <w:pPr>
              <w:rPr>
                <w:rFonts w:hint="eastAsia"/>
              </w:rPr>
            </w:pPr>
            <w:r>
              <w:rPr>
                <w:rFonts w:hint="eastAsia"/>
              </w:rPr>
              <w:t>O：资质范围内的特种工程（特种设备的起重吊装）专业承包及相关职业健康安全管理活动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EC：28.09.02</w:t>
            </w:r>
          </w:p>
          <w:p>
            <w:r>
              <w:t>E：28.09.02</w:t>
            </w:r>
          </w:p>
          <w:p>
            <w:r>
              <w:t>O：28.09.02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rPr>
              <w:t>2020年1月10日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15-20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35"/>
        <w:gridCol w:w="2273"/>
        <w:gridCol w:w="791"/>
        <w:gridCol w:w="1327"/>
        <w:gridCol w:w="2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1435" w:type="dxa"/>
            <w:shd w:val="clear" w:color="auto" w:fill="F3F3F3"/>
            <w:tcMar>
              <w:left w:w="57" w:type="dxa"/>
              <w:right w:w="57" w:type="dxa"/>
            </w:tcMar>
          </w:tcPr>
          <w:p>
            <w:r>
              <w:rPr>
                <w:rFonts w:hint="eastAsia"/>
              </w:rPr>
              <w:t>组织名称及注册场所地址</w:t>
            </w:r>
          </w:p>
        </w:tc>
        <w:tc>
          <w:tcPr>
            <w:tcW w:w="2273" w:type="dxa"/>
            <w:shd w:val="clear" w:color="auto" w:fill="F3F3F3"/>
          </w:tcPr>
          <w:p>
            <w:r>
              <w:rPr>
                <w:rFonts w:hint="eastAsia"/>
              </w:rPr>
              <w:t>经营场所的地址</w:t>
            </w:r>
          </w:p>
          <w:p>
            <w:r>
              <w:rPr>
                <w:rFonts w:hint="eastAsia"/>
              </w:rPr>
              <w:t>（多现场和临时现场）</w:t>
            </w:r>
          </w:p>
        </w:tc>
        <w:tc>
          <w:tcPr>
            <w:tcW w:w="791" w:type="dxa"/>
            <w:shd w:val="clear" w:color="auto" w:fill="F3F3F3"/>
            <w:tcMar>
              <w:left w:w="57" w:type="dxa"/>
              <w:right w:w="57" w:type="dxa"/>
            </w:tcMar>
          </w:tcPr>
          <w:p>
            <w:r>
              <w:rPr>
                <w:rFonts w:hint="eastAsia"/>
              </w:rPr>
              <w:t>员工人数</w:t>
            </w:r>
          </w:p>
        </w:tc>
        <w:tc>
          <w:tcPr>
            <w:tcW w:w="1327" w:type="dxa"/>
            <w:shd w:val="clear" w:color="auto" w:fill="F3F3F3"/>
            <w:tcMar>
              <w:left w:w="57" w:type="dxa"/>
              <w:right w:w="57" w:type="dxa"/>
            </w:tcMar>
          </w:tcPr>
          <w:p>
            <w:r>
              <w:rPr>
                <w:rFonts w:hint="eastAsia"/>
              </w:rPr>
              <w:t>审核范围（产品和过程）</w:t>
            </w:r>
          </w:p>
          <w:p/>
        </w:tc>
        <w:tc>
          <w:tcPr>
            <w:tcW w:w="2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435" w:type="dxa"/>
          </w:tcPr>
          <w:p>
            <w:pPr>
              <w:rPr>
                <w:lang w:val="de-DE" w:eastAsia="ja-JP"/>
              </w:rPr>
            </w:pPr>
            <w:r>
              <w:rPr>
                <w:rFonts w:asciiTheme="minorEastAsia" w:hAnsiTheme="minorEastAsia" w:eastAsiaTheme="minorEastAsia"/>
                <w:sz w:val="20"/>
              </w:rPr>
              <w:t>石家庄市裕华区槐安东路158号鑫科国际广场A座1102室</w:t>
            </w:r>
          </w:p>
        </w:tc>
        <w:tc>
          <w:tcPr>
            <w:tcW w:w="2273" w:type="dxa"/>
          </w:tcPr>
          <w:p>
            <w:pPr>
              <w:rPr>
                <w:lang w:val="de-DE" w:eastAsia="ja-JP"/>
              </w:rPr>
            </w:pPr>
            <w:r>
              <w:rPr>
                <w:rFonts w:hint="eastAsia" w:ascii="楷体" w:hAnsi="楷体" w:eastAsia="楷体" w:cs="楷体"/>
                <w:sz w:val="21"/>
                <w:szCs w:val="21"/>
                <w:lang w:val="en-US" w:eastAsia="zh-CN"/>
              </w:rPr>
              <w:t>张家口沽源县</w:t>
            </w:r>
          </w:p>
        </w:tc>
        <w:tc>
          <w:tcPr>
            <w:tcW w:w="791" w:type="dxa"/>
            <w:vAlign w:val="center"/>
          </w:tcPr>
          <w:p>
            <w:pPr>
              <w:rPr>
                <w:rFonts w:hint="default" w:eastAsia="宋体"/>
                <w:lang w:val="en-US" w:eastAsia="zh-CN"/>
              </w:rPr>
            </w:pPr>
            <w:r>
              <w:rPr>
                <w:rFonts w:hint="eastAsia"/>
                <w:lang w:val="en-US" w:eastAsia="zh-CN"/>
              </w:rPr>
              <w:t>25</w:t>
            </w:r>
          </w:p>
        </w:tc>
        <w:tc>
          <w:tcPr>
            <w:tcW w:w="1327" w:type="dxa"/>
            <w:vAlign w:val="center"/>
          </w:tcPr>
          <w:p>
            <w:pPr>
              <w:rPr>
                <w:lang w:eastAsia="ja-JP"/>
              </w:rPr>
            </w:pPr>
            <w:r>
              <w:rPr>
                <w:sz w:val="20"/>
              </w:rPr>
              <w:t>资质范围内的特种工程（特种设备的起重吊装）专业承包</w:t>
            </w:r>
          </w:p>
        </w:tc>
        <w:tc>
          <w:tcPr>
            <w:tcW w:w="2751" w:type="dxa"/>
            <w:vAlign w:val="center"/>
          </w:tcPr>
          <w:p>
            <w:pPr>
              <w:jc w:val="left"/>
              <w:rPr>
                <w:rFonts w:hint="eastAsia" w:ascii="宋体" w:hAnsi="宋体"/>
                <w:b/>
                <w:sz w:val="21"/>
                <w:szCs w:val="21"/>
              </w:rPr>
            </w:pPr>
            <w:r>
              <w:rPr>
                <w:rFonts w:hint="eastAsia" w:ascii="宋体" w:hAnsi="宋体"/>
                <w:b/>
                <w:sz w:val="21"/>
                <w:szCs w:val="21"/>
              </w:rPr>
              <w:t>GB/T19001-2016</w:t>
            </w:r>
          </w:p>
          <w:p>
            <w:pPr>
              <w:jc w:val="left"/>
              <w:rPr>
                <w:rFonts w:hint="eastAsia" w:ascii="宋体" w:hAnsi="宋体"/>
                <w:b/>
                <w:sz w:val="21"/>
                <w:szCs w:val="21"/>
              </w:rPr>
            </w:pPr>
            <w:r>
              <w:rPr>
                <w:rFonts w:hint="eastAsia" w:ascii="宋体" w:hAnsi="宋体"/>
                <w:b/>
                <w:sz w:val="21"/>
                <w:szCs w:val="21"/>
              </w:rPr>
              <w:t>GB/T 50430-2017</w:t>
            </w:r>
          </w:p>
          <w:p>
            <w:pPr>
              <w:jc w:val="left"/>
              <w:rPr>
                <w:rFonts w:ascii="宋体" w:hAnsi="宋体"/>
                <w:b/>
                <w:sz w:val="21"/>
                <w:szCs w:val="21"/>
              </w:rPr>
            </w:pPr>
            <w:r>
              <w:rPr>
                <w:rFonts w:hint="eastAsia" w:ascii="宋体" w:hAnsi="宋体"/>
                <w:b/>
                <w:sz w:val="21"/>
                <w:szCs w:val="21"/>
              </w:rPr>
              <w:t>GB/T24001-2016</w:t>
            </w:r>
          </w:p>
          <w:p>
            <w:pPr>
              <w:rPr>
                <w:lang w:eastAsia="ja-JP"/>
              </w:rPr>
            </w:pPr>
            <w:r>
              <w:rPr>
                <w:rFonts w:hint="eastAsia" w:ascii="宋体" w:hAnsi="宋体"/>
                <w:b/>
                <w:sz w:val="21"/>
                <w:szCs w:val="21"/>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435" w:type="dxa"/>
            <w:vAlign w:val="center"/>
          </w:tcPr>
          <w:p>
            <w:pPr>
              <w:rPr>
                <w:lang w:eastAsia="ja-JP"/>
              </w:rPr>
            </w:pPr>
          </w:p>
        </w:tc>
        <w:tc>
          <w:tcPr>
            <w:tcW w:w="2273" w:type="dxa"/>
            <w:vAlign w:val="center"/>
          </w:tcPr>
          <w:p>
            <w:pPr>
              <w:rPr>
                <w:lang w:eastAsia="ja-JP"/>
              </w:rPr>
            </w:pPr>
          </w:p>
        </w:tc>
        <w:tc>
          <w:tcPr>
            <w:tcW w:w="791" w:type="dxa"/>
            <w:vAlign w:val="center"/>
          </w:tcPr>
          <w:p>
            <w:pPr>
              <w:rPr>
                <w:lang w:eastAsia="ja-JP"/>
              </w:rPr>
            </w:pPr>
          </w:p>
        </w:tc>
        <w:tc>
          <w:tcPr>
            <w:tcW w:w="1327"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435" w:type="dxa"/>
            <w:vAlign w:val="center"/>
          </w:tcPr>
          <w:p>
            <w:pPr>
              <w:rPr>
                <w:lang w:eastAsia="ja-JP"/>
              </w:rPr>
            </w:pPr>
          </w:p>
        </w:tc>
        <w:tc>
          <w:tcPr>
            <w:tcW w:w="2273" w:type="dxa"/>
            <w:vAlign w:val="center"/>
          </w:tcPr>
          <w:p>
            <w:pPr>
              <w:rPr>
                <w:lang w:eastAsia="ja-JP"/>
              </w:rPr>
            </w:pPr>
          </w:p>
        </w:tc>
        <w:tc>
          <w:tcPr>
            <w:tcW w:w="791" w:type="dxa"/>
            <w:vAlign w:val="center"/>
          </w:tcPr>
          <w:p>
            <w:pPr>
              <w:rPr>
                <w:lang w:eastAsia="ja-JP"/>
              </w:rPr>
            </w:pPr>
          </w:p>
        </w:tc>
        <w:tc>
          <w:tcPr>
            <w:tcW w:w="1327"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435" w:type="dxa"/>
            <w:vAlign w:val="center"/>
          </w:tcPr>
          <w:p>
            <w:pPr>
              <w:rPr>
                <w:lang w:eastAsia="ja-JP"/>
              </w:rPr>
            </w:pPr>
          </w:p>
        </w:tc>
        <w:tc>
          <w:tcPr>
            <w:tcW w:w="2273" w:type="dxa"/>
            <w:vAlign w:val="center"/>
          </w:tcPr>
          <w:p>
            <w:pPr>
              <w:rPr>
                <w:lang w:eastAsia="ja-JP"/>
              </w:rPr>
            </w:pPr>
          </w:p>
        </w:tc>
        <w:tc>
          <w:tcPr>
            <w:tcW w:w="791" w:type="dxa"/>
            <w:vAlign w:val="center"/>
          </w:tcPr>
          <w:p>
            <w:pPr>
              <w:rPr>
                <w:lang w:eastAsia="ja-JP"/>
              </w:rPr>
            </w:pPr>
          </w:p>
        </w:tc>
        <w:tc>
          <w:tcPr>
            <w:tcW w:w="1327"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435" w:type="dxa"/>
            <w:vAlign w:val="center"/>
          </w:tcPr>
          <w:p>
            <w:pPr>
              <w:rPr>
                <w:lang w:eastAsia="ja-JP"/>
              </w:rPr>
            </w:pPr>
          </w:p>
        </w:tc>
        <w:tc>
          <w:tcPr>
            <w:tcW w:w="2273" w:type="dxa"/>
            <w:vAlign w:val="center"/>
          </w:tcPr>
          <w:p>
            <w:pPr>
              <w:rPr>
                <w:lang w:eastAsia="ja-JP"/>
              </w:rPr>
            </w:pPr>
          </w:p>
        </w:tc>
        <w:tc>
          <w:tcPr>
            <w:tcW w:w="791" w:type="dxa"/>
            <w:vAlign w:val="center"/>
          </w:tcPr>
          <w:p>
            <w:pPr>
              <w:rPr>
                <w:lang w:eastAsia="ja-JP"/>
              </w:rPr>
            </w:pPr>
          </w:p>
        </w:tc>
        <w:tc>
          <w:tcPr>
            <w:tcW w:w="1327" w:type="dxa"/>
            <w:vAlign w:val="center"/>
          </w:tcPr>
          <w:p>
            <w:pPr>
              <w:rPr>
                <w:lang w:eastAsia="ja-JP"/>
              </w:rPr>
            </w:pPr>
          </w:p>
        </w:tc>
        <w:tc>
          <w:tcPr>
            <w:tcW w:w="2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长城建设集团有限公司</w:t>
            </w:r>
          </w:p>
        </w:tc>
        <w:tc>
          <w:tcPr>
            <w:tcW w:w="2179" w:type="dxa"/>
            <w:vAlign w:val="center"/>
          </w:tcPr>
          <w:p>
            <w:r>
              <w:t>EC:28.09.02</w:t>
            </w:r>
          </w:p>
          <w:p>
            <w:r>
              <w:t>E:28.09.02</w:t>
            </w:r>
          </w:p>
          <w:p>
            <w: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见在建项目清单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w:t>
      </w:r>
      <w:r>
        <w:rPr>
          <w:rFonts w:hint="eastAsia"/>
          <w:lang w:eastAsia="zh-CN"/>
        </w:rPr>
        <w:t>☑</w:t>
      </w:r>
      <w:r>
        <w:rPr>
          <w:rFonts w:hint="eastAsia"/>
        </w:rPr>
        <w:t xml:space="preserve">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default"/>
                <w:sz w:val="21"/>
                <w:szCs w:val="21"/>
                <w:lang w:val="en-US" w:eastAsia="zh-CN"/>
              </w:rPr>
              <w:t>上次审核不符合项</w:t>
            </w:r>
            <w:r>
              <w:rPr>
                <w:rFonts w:hint="eastAsia"/>
                <w:sz w:val="21"/>
                <w:szCs w:val="21"/>
                <w:lang w:val="en-US" w:eastAsia="zh-CN"/>
              </w:rPr>
              <w:t>为</w:t>
            </w:r>
            <w:r>
              <w:rPr>
                <w:rFonts w:hint="eastAsia"/>
                <w:lang w:val="en-US" w:eastAsia="zh-CN"/>
              </w:rPr>
              <w:t>机械部Q8.4.1EC8.2.4E8.1O8.1.4条款，本次审核未发现类似问题，采取的措施有效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8"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59264" behindDoc="0" locked="0" layoutInCell="1" allowOverlap="1">
                  <wp:simplePos x="0" y="0"/>
                  <wp:positionH relativeFrom="column">
                    <wp:posOffset>-40640</wp:posOffset>
                  </wp:positionH>
                  <wp:positionV relativeFrom="paragraph">
                    <wp:posOffset>2540</wp:posOffset>
                  </wp:positionV>
                  <wp:extent cx="1682115" cy="415925"/>
                  <wp:effectExtent l="0" t="0" r="698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682115" cy="4159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Times New Roman" w:hAnsi="Times New Roman" w:cs="宋体"/>
                <w:szCs w:val="22"/>
                <w:u w:val="single"/>
              </w:rPr>
            </w:pPr>
            <w:r>
              <w:rPr>
                <w:rFonts w:hint="eastAsia"/>
              </w:rPr>
              <w:t>最高管理者制定了文件化的管理体系方针：</w:t>
            </w:r>
            <w:r>
              <w:rPr>
                <w:rFonts w:hint="eastAsia" w:ascii="Times New Roman" w:hAnsi="Times New Roman" w:cs="宋体"/>
                <w:szCs w:val="22"/>
                <w:u w:val="single"/>
              </w:rPr>
              <w:t>安全吊装，预防为主，满足顾客要求，持续改进；</w:t>
            </w:r>
          </w:p>
          <w:p>
            <w:pPr>
              <w:shd w:val="clear" w:color="auto" w:fill="C7DAF1" w:themeFill="text2" w:themeFillTint="32"/>
              <w:rPr>
                <w:u w:val="single"/>
              </w:rPr>
            </w:pPr>
            <w:r>
              <w:rPr>
                <w:rFonts w:hint="eastAsia" w:ascii="Times New Roman" w:hAnsi="Times New Roman" w:cs="宋体"/>
                <w:szCs w:val="22"/>
                <w:u w:val="single"/>
              </w:rPr>
              <w:t>遵守法规，降低能源消耗、关爱生命，确保员工健康</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lang w:val="zh-CN"/>
              </w:rPr>
              <w:t>目前对公司影响较大的是</w:t>
            </w:r>
            <w:r>
              <w:rPr>
                <w:rFonts w:hint="eastAsia" w:ascii="楷体" w:hAnsi="楷体" w:eastAsia="楷体" w:cs="楷体"/>
                <w:sz w:val="21"/>
                <w:szCs w:val="21"/>
                <w:lang w:val="en-US" w:eastAsia="zh-CN"/>
              </w:rPr>
              <w:t>进入2021年国家对风电项目补贴取消的政策，使公司甲方的利润减少，同样会影响公司的资金运行和利润空间</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另</w:t>
            </w:r>
            <w:r>
              <w:rPr>
                <w:rFonts w:hint="eastAsia" w:ascii="楷体" w:hAnsi="楷体" w:eastAsia="楷体" w:cs="楷体"/>
                <w:sz w:val="21"/>
                <w:szCs w:val="21"/>
              </w:rPr>
              <w:t>考虑到疫情影响的今年</w:t>
            </w:r>
            <w:r>
              <w:rPr>
                <w:rFonts w:hint="eastAsia" w:ascii="楷体" w:hAnsi="楷体" w:eastAsia="楷体" w:cs="楷体"/>
                <w:sz w:val="21"/>
                <w:szCs w:val="21"/>
                <w:lang w:val="zh-CN"/>
              </w:rPr>
              <w:t>国内经济政策环境，工程回款可能会比较慢等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rPr>
              <w:t>工程一次性交验合格率：90%；顾客满意程度：90%；合同履约率：100%</w:t>
            </w:r>
            <w:r>
              <w:rPr>
                <w:rFonts w:hint="eastAsia" w:ascii="Times New Roman" w:hAnsi="Times New Roman" w:eastAsia="宋体" w:cs="Times New Roman"/>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olor w:val="000000"/>
                <w:spacing w:val="-10"/>
                <w:u w:val="single"/>
                <w:lang w:eastAsia="zh-CN"/>
              </w:rPr>
              <w:t>汽车吊、铲车</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default" w:ascii="Arial" w:hAnsi="Arial" w:cs="Arial"/>
              </w:rPr>
              <w:t>√</w:t>
            </w:r>
            <w:r>
              <w:rPr>
                <w:rFonts w:hint="eastAsia"/>
              </w:rPr>
              <w:t>计量器具</w:t>
            </w:r>
            <w:r>
              <w:rPr>
                <w:rFonts w:hint="eastAsia"/>
                <w:lang w:eastAsia="zh-CN"/>
              </w:rPr>
              <w:t>（</w:t>
            </w:r>
            <w:r>
              <w:rPr>
                <w:rFonts w:hint="eastAsia" w:ascii="楷体" w:hAnsi="楷体" w:eastAsia="楷体" w:cs="楷体"/>
                <w:color w:val="000000"/>
                <w:kern w:val="0"/>
                <w:sz w:val="21"/>
                <w:szCs w:val="21"/>
              </w:rPr>
              <w:t>扭矩显示器</w:t>
            </w:r>
            <w:r>
              <w:rPr>
                <w:rFonts w:hint="eastAsia" w:ascii="楷体" w:hAnsi="楷体" w:eastAsia="楷体" w:cs="楷体"/>
                <w:sz w:val="21"/>
                <w:szCs w:val="21"/>
                <w:lang w:eastAsia="zh-CN"/>
              </w:rPr>
              <w:t>）</w:t>
            </w:r>
            <w:r>
              <w:rPr>
                <w:rFonts w:hint="eastAsia"/>
              </w:rPr>
              <w:t xml:space="preserve">   </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lang w:val="en-US" w:eastAsia="zh-CN"/>
              </w:rPr>
              <w:t>送检</w:t>
            </w:r>
            <w:r>
              <w:rPr>
                <w:rFonts w:hint="eastAsia"/>
              </w:rPr>
              <w:t xml:space="preserve">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default" w:ascii="Arial" w:hAnsi="Arial" w:cs="Arial"/>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楷体" w:hAnsi="楷体" w:eastAsia="楷体" w:cs="楷体"/>
                <w:sz w:val="21"/>
                <w:szCs w:val="21"/>
              </w:rPr>
              <w:t>高处作业</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val="en-US" w:eastAsia="zh-CN"/>
              </w:rPr>
              <w:t>设备租赁</w:t>
            </w:r>
          </w:p>
          <w:p>
            <w:pPr>
              <w:shd w:val="clear" w:color="auto" w:fill="C7DAF1" w:themeFill="text2" w:themeFillTint="32"/>
              <w:jc w:val="left"/>
            </w:pPr>
            <w:r>
              <w:rPr>
                <w:rFonts w:hint="eastAsia"/>
              </w:rPr>
              <w:t>提供给外部供方的信息</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auto"/>
                <w:u w:val="single"/>
                <w:lang w:val="en-US" w:eastAsia="zh-CN"/>
              </w:rPr>
              <w:t>吊装服务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宋体"/>
                <w:szCs w:val="22"/>
                <w:u w:val="single"/>
              </w:rPr>
            </w:pPr>
            <w:r>
              <w:rPr>
                <w:rFonts w:hint="eastAsia"/>
              </w:rPr>
              <w:t>最高管理者制定了文件化的管理体系方针：</w:t>
            </w:r>
            <w:r>
              <w:rPr>
                <w:rFonts w:hint="eastAsia" w:ascii="Times New Roman" w:hAnsi="Times New Roman" w:eastAsia="宋体" w:cs="宋体"/>
                <w:szCs w:val="22"/>
                <w:u w:val="single"/>
              </w:rPr>
              <w:t>安全吊装，预防为主，满足顾客要求，持续改进；</w:t>
            </w:r>
          </w:p>
          <w:p>
            <w:pPr>
              <w:rPr>
                <w:rFonts w:hint="eastAsia" w:ascii="Times New Roman" w:hAnsi="Times New Roman" w:eastAsia="宋体" w:cs="宋体"/>
                <w:szCs w:val="22"/>
                <w:u w:val="single"/>
              </w:rPr>
            </w:pPr>
            <w:r>
              <w:rPr>
                <w:rFonts w:hint="eastAsia" w:ascii="Times New Roman" w:hAnsi="Times New Roman" w:eastAsia="宋体" w:cs="宋体"/>
                <w:szCs w:val="22"/>
                <w:u w:val="single"/>
              </w:rPr>
              <w:t xml:space="preserve">遵守法规，降低能源消耗、关爱生命，确保员工健康   </w:t>
            </w:r>
          </w:p>
          <w:p>
            <w:r>
              <w:rPr>
                <w:rFonts w:hint="eastAsia" w:ascii="Times New Roman" w:hAnsi="Times New Roman" w:eastAsia="宋体" w:cs="宋体"/>
                <w:szCs w:val="22"/>
                <w:u w:val="single"/>
              </w:rPr>
              <w:t>环境</w:t>
            </w:r>
            <w:r>
              <w:rPr>
                <w:rFonts w:hint="eastAsia" w:ascii="Times New Roman" w:hAnsi="Times New Roman" w:eastAsia="宋体" w:cs="宋体"/>
                <w:szCs w:val="22"/>
                <w:u w:val="single"/>
                <w:lang w:val="en-GB"/>
              </w:rPr>
              <w:t>方针合理恰当并为相应的</w:t>
            </w:r>
            <w:r>
              <w:rPr>
                <w:rFonts w:hint="eastAsia" w:ascii="Times New Roman" w:hAnsi="Times New Roman" w:eastAsia="宋体" w:cs="宋体"/>
                <w:szCs w:val="22"/>
                <w:u w:val="single"/>
              </w:rPr>
              <w:t>环境</w:t>
            </w:r>
            <w:r>
              <w:rPr>
                <w:rFonts w:hint="eastAsia" w:ascii="Times New Roman" w:hAnsi="Times New Roman" w:eastAsia="宋体" w:cs="宋体"/>
                <w:szCs w:val="22"/>
                <w:u w:val="single"/>
                <w:lang w:val="en-GB"/>
              </w:rPr>
              <w:t>目标提供了框架，</w:t>
            </w:r>
            <w:r>
              <w:rPr>
                <w:rFonts w:hint="eastAsia" w:ascii="Times New Roman" w:hAnsi="Times New Roman" w:eastAsia="宋体" w:cs="宋体"/>
                <w:szCs w:val="22"/>
                <w:u w:val="single"/>
              </w:rPr>
              <w:t>包括了</w:t>
            </w:r>
            <w:r>
              <w:rPr>
                <w:rFonts w:hint="eastAsia" w:ascii="Times New Roman" w:hAnsi="Times New Roman" w:eastAsia="宋体" w:cs="宋体"/>
                <w:szCs w:val="22"/>
                <w:u w:val="single"/>
                <w:lang w:val="en-GB"/>
              </w:rPr>
              <w:t>保护环境的承诺、履行其合规义</w:t>
            </w:r>
            <w:r>
              <w:rPr>
                <w:rFonts w:hint="eastAsia"/>
                <w:lang w:val="en-GB"/>
              </w:rPr>
              <w:t>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Times New Roman" w:hAnsi="Times New Roman" w:cs="宋体"/>
                <w:szCs w:val="22"/>
              </w:rPr>
            </w:pPr>
            <w:r>
              <w:rPr>
                <w:rFonts w:hint="eastAsia" w:ascii="Times New Roman" w:hAnsi="Times New Roman" w:cs="宋体"/>
                <w:szCs w:val="22"/>
              </w:rPr>
              <w:t>固体废弃物合理处置率100％</w:t>
            </w:r>
            <w:r>
              <w:rPr>
                <w:rFonts w:hint="eastAsia" w:ascii="Times New Roman" w:hAnsi="Times New Roman" w:cs="宋体"/>
                <w:szCs w:val="22"/>
                <w:lang w:eastAsia="zh-CN"/>
              </w:rPr>
              <w:t>；</w:t>
            </w:r>
            <w:r>
              <w:rPr>
                <w:rFonts w:hint="eastAsia" w:ascii="Times New Roman" w:hAnsi="Times New Roman" w:cs="宋体"/>
                <w:szCs w:val="22"/>
              </w:rPr>
              <w:t>火灾事故为0</w:t>
            </w:r>
            <w:r>
              <w:rPr>
                <w:rFonts w:hint="eastAsia" w:ascii="Times New Roman" w:hAnsi="Times New Roman" w:cs="宋体"/>
                <w:szCs w:val="22"/>
                <w:lang w:eastAsia="zh-CN"/>
              </w:rPr>
              <w:t>；</w:t>
            </w:r>
            <w:r>
              <w:rPr>
                <w:rFonts w:hint="eastAsia" w:ascii="Times New Roman" w:hAnsi="Times New Roman" w:cs="宋体"/>
                <w:szCs w:val="22"/>
              </w:rPr>
              <w:t>噪声污染投诉率为0；</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color w:val="000000"/>
                <w:spacing w:val="-10"/>
                <w:u w:val="single"/>
                <w:lang w:eastAsia="zh-CN"/>
              </w:rPr>
              <w:t>汽车吊、铲车</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除尘器、灭火器</w:t>
            </w:r>
            <w:r>
              <w:rPr>
                <w:rFonts w:hint="eastAsia"/>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w:t>
            </w:r>
            <w:bookmarkStart w:id="30" w:name="_GoBack"/>
            <w:bookmarkEnd w:id="30"/>
            <w:r>
              <w:rPr>
                <w:rFonts w:hint="eastAsia"/>
              </w:rPr>
              <w:t>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rPr>
              <w:t>车间、仓库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rPr>
              <w:t>噪声排放</w:t>
            </w:r>
            <w:r>
              <w:rPr>
                <w:rFonts w:hint="eastAsia"/>
              </w:rPr>
              <w:tab/>
            </w:r>
            <w:r>
              <w:rPr>
                <w:rFonts w:hint="eastAsia"/>
              </w:rPr>
              <w:t>生产</w:t>
            </w:r>
            <w:r>
              <w:rPr>
                <w:rFonts w:hint="eastAsia"/>
              </w:rPr>
              <w:tab/>
            </w:r>
            <w:r>
              <w:rPr>
                <w:rFonts w:hint="eastAsia"/>
              </w:rPr>
              <w:t>噪声污染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rPr>
              <w:t>粉尘排放</w:t>
            </w:r>
            <w:r>
              <w:rPr>
                <w:rFonts w:hint="eastAsia"/>
              </w:rPr>
              <w:tab/>
            </w:r>
            <w:r>
              <w:rPr>
                <w:rFonts w:hint="eastAsia"/>
              </w:rPr>
              <w:t>生产</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电的消耗</w:t>
            </w:r>
            <w:r>
              <w:rPr>
                <w:rFonts w:hint="eastAsia"/>
              </w:rPr>
              <w:tab/>
            </w:r>
            <w:r>
              <w:rPr>
                <w:rFonts w:hint="eastAsia"/>
              </w:rPr>
              <w:t>生产、办公</w:t>
            </w:r>
            <w:r>
              <w:rPr>
                <w:rFonts w:hint="eastAsia"/>
              </w:rPr>
              <w:tab/>
            </w:r>
            <w:r>
              <w:rPr>
                <w:rFonts w:hint="eastAsia"/>
              </w:rPr>
              <w:t>资源浪费</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第三方监测 </w:t>
            </w:r>
          </w:p>
          <w:p>
            <w:pPr>
              <w:shd w:val="clear" w:color="auto" w:fill="EBF1DE" w:themeFill="accent3" w:themeFillTint="32"/>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b w:val="0"/>
                <w:bCs/>
                <w:color w:val="auto"/>
                <w:sz w:val="20"/>
                <w:szCs w:val="20"/>
                <w:lang w:val="en-US" w:eastAsia="zh-CN"/>
              </w:rPr>
              <w:t>国土津检（化）字第（Q050）号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Times New Roman" w:hAnsi="Times New Roman" w:eastAsia="宋体" w:cs="宋体"/>
                <w:szCs w:val="22"/>
                <w:u w:val="single"/>
              </w:rPr>
              <w:t>安全吊装，预防为主，满足顾客要求，持续改进；遵守法规，降低能源消耗、关爱生命，确保员工健康</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高杰贤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eastAsia="宋体"/>
                <w:sz w:val="21"/>
                <w:szCs w:val="21"/>
                <w:lang w:val="en-US" w:eastAsia="zh-CN"/>
              </w:rPr>
            </w:pPr>
            <w:r>
              <w:rPr>
                <w:rFonts w:hint="eastAsia" w:ascii="Times New Roman" w:hAnsi="Times New Roman" w:cs="宋体"/>
                <w:szCs w:val="22"/>
              </w:rPr>
              <w:t>火灾事故为0</w:t>
            </w:r>
            <w:r>
              <w:rPr>
                <w:rFonts w:hint="eastAsia" w:ascii="Times New Roman" w:hAnsi="Times New Roman" w:cs="宋体"/>
                <w:szCs w:val="22"/>
                <w:lang w:eastAsia="zh-CN"/>
              </w:rPr>
              <w:t>；</w:t>
            </w:r>
            <w:r>
              <w:rPr>
                <w:rFonts w:hint="eastAsia" w:ascii="Times New Roman" w:hAnsi="Times New Roman" w:cs="宋体"/>
                <w:szCs w:val="22"/>
              </w:rPr>
              <w:t>重大人身伤亡事故为0</w:t>
            </w:r>
            <w:r>
              <w:rPr>
                <w:rFonts w:hint="eastAsia" w:ascii="Times New Roman" w:hAnsi="Times New Roman" w:cs="宋体"/>
                <w:szCs w:val="22"/>
                <w:lang w:eastAsia="zh-CN"/>
              </w:rPr>
              <w:t>；</w:t>
            </w:r>
            <w:r>
              <w:rPr>
                <w:rFonts w:hint="eastAsia" w:ascii="Times New Roman" w:hAnsi="Times New Roman" w:cs="宋体"/>
                <w:szCs w:val="22"/>
              </w:rPr>
              <w:t>轻伤事故 ≦2‰</w:t>
            </w:r>
            <w:r>
              <w:rPr>
                <w:rFonts w:hint="eastAsia"/>
                <w:b w:val="0"/>
                <w:bCs w:val="0"/>
                <w:sz w:val="21"/>
                <w:szCs w:val="21"/>
                <w:lang w:eastAsia="zh-CN"/>
              </w:rPr>
              <w:t>。</w:t>
            </w:r>
          </w:p>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rPr>
              <w:t>个；库房</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color w:val="000000"/>
                <w:spacing w:val="-10"/>
                <w:u w:val="single"/>
                <w:lang w:eastAsia="zh-CN"/>
              </w:rPr>
              <w:t>汽车吊、铲车</w:t>
            </w:r>
          </w:p>
          <w:p>
            <w:r>
              <w:rPr>
                <w:rFonts w:hint="eastAsia"/>
              </w:rPr>
              <w:t>主要安全装置有：</w:t>
            </w:r>
          </w:p>
          <w:p>
            <w:pPr>
              <w:rPr>
                <w:u w:val="single"/>
              </w:rPr>
            </w:pPr>
            <w:r>
              <w:rPr>
                <w:rFonts w:hint="eastAsia" w:ascii="Wingdings" w:hAnsi="Wingdings"/>
              </w:rPr>
              <w:t>¨</w:t>
            </w:r>
            <w:r>
              <w:rPr>
                <w:rFonts w:hint="eastAsia"/>
              </w:rPr>
              <w:t xml:space="preserve">急停按钮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楷体" w:hAnsi="楷体" w:eastAsia="楷体"/>
                <w:szCs w:val="21"/>
              </w:rPr>
              <w:t>指挥、高空作业、吊车司机、电气设备安装工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加强防消防知识培训，办公楼、生产现场每天做好检查、巡视工作，发现隐患立时报告分管领导，及时消除隐患；火灾发生时，及时拨打119火警电话，做好应急准备和响应</w:t>
            </w:r>
            <w:r>
              <w:rPr>
                <w:rFonts w:hint="eastAsia"/>
                <w:lang w:eastAsia="zh-CN"/>
              </w:rPr>
              <w:t>，</w:t>
            </w:r>
            <w:r>
              <w:rPr>
                <w:rFonts w:hint="eastAsia"/>
              </w:rPr>
              <w:t>每年举行一次消防知识培训和消防演习，事发时做好及时疏散、抢救工作</w:t>
            </w:r>
          </w:p>
          <w:p>
            <w:pPr>
              <w:jc w:val="left"/>
              <w:rPr>
                <w:rFonts w:hint="eastAsia"/>
              </w:rPr>
            </w:pPr>
            <w:r>
              <w:rPr>
                <w:rFonts w:hint="eastAsia"/>
              </w:rPr>
              <w:t>机械伤害</w:t>
            </w:r>
            <w:r>
              <w:rPr>
                <w:rFonts w:hint="eastAsia"/>
              </w:rPr>
              <w:tab/>
            </w:r>
            <w:r>
              <w:rPr>
                <w:rFonts w:hint="eastAsia"/>
              </w:rPr>
              <w:t>人身伤亡</w:t>
            </w:r>
            <w:r>
              <w:rPr>
                <w:rFonts w:hint="eastAsia"/>
              </w:rPr>
              <w:tab/>
            </w:r>
            <w:r>
              <w:rPr>
                <w:rFonts w:hint="eastAsia"/>
              </w:rPr>
              <w:t>完善安全操作规程，并对员工进行培训、教育；加强检查</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val="en-US" w:eastAsia="zh-CN"/>
              </w:rPr>
              <w:t>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rPr>
            </w:pPr>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Pr>
              <w:pStyle w:val="24"/>
            </w:pP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12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2021-09-12T10:31:48Z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