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河北正旺机械制造有限公司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240" w:lineRule="exact"/>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r>
              <w:rPr>
                <w:sz w:val="22"/>
                <w:szCs w:val="22"/>
              </w:rPr>
              <w:t xml:space="preserve">           </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0416-2020-Q-2021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sz w:val="18"/>
                <w:szCs w:val="18"/>
                <w:lang w:val="en-US"/>
              </w:rPr>
            </w:pPr>
            <w:r>
              <w:rPr>
                <w:rFonts w:hint="eastAsia"/>
                <w:sz w:val="22"/>
                <w:szCs w:val="22"/>
              </w:rPr>
              <w:sym w:font="Wingdings 2" w:char="0052"/>
            </w:r>
            <w:r>
              <w:rPr>
                <w:rFonts w:hint="eastAsia"/>
                <w:sz w:val="22"/>
                <w:szCs w:val="22"/>
                <w:lang w:val="en-US" w:eastAsia="zh-CN"/>
              </w:rPr>
              <w:t xml:space="preserve"> 监督扩项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3" w:name="_GoBack"/>
            <w:bookmarkEnd w:id="3"/>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D768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2021-08-23T02:02:18Z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