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41"/>
        <w:gridCol w:w="148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四川恒升信达科技有限公司</w:t>
            </w:r>
            <w:bookmarkEnd w:id="7"/>
          </w:p>
        </w:tc>
        <w:tc>
          <w:tcPr>
            <w:tcW w:w="174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6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O：29.09.02;33.02.01;33.02.02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67945</wp:posOffset>
                  </wp:positionV>
                  <wp:extent cx="847725" cy="368300"/>
                  <wp:effectExtent l="0" t="0" r="3175" b="0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O：29.09.02;33.02.01;33.02.02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-60960</wp:posOffset>
                  </wp:positionV>
                  <wp:extent cx="1047750" cy="374650"/>
                  <wp:effectExtent l="0" t="0" r="6350" b="6350"/>
                  <wp:wrapNone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产品销售：业务洽谈——签订合同/协议——按要求履约服务——顾客确认——结算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信息系统集成服务：客户项目意向—项目设计（需要时）—制定方案—采购项目设备—综合布线—设备安装—系统测试—交付使用—售后服务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计算机软件开发：需求调研概要设计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详细设计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数据库设计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软件编码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功能测试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联合调试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系统测试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软件上线或发布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火灾、触电、意外伤害，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default" w:ascii="宋体"/>
                <w:color w:val="000000"/>
                <w:sz w:val="20"/>
                <w:szCs w:val="20"/>
              </w:rPr>
              <w:t>GB3095-2012《环境空气质量标准》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宋体"/>
                <w:color w:val="000000"/>
                <w:sz w:val="20"/>
                <w:szCs w:val="20"/>
              </w:rPr>
              <w:t>GBZ2-2007《工作场所有害因素职业接触限值》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9386-2008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计算机软件测试文档编制规范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26327-2010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企业信息化系统集成实施指南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 50312-2007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综合布线系统工程设计与施工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GB/T8567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2006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综合布线系统工程验收规范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符合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9386-2008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计算机软件测试文档编制规范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 26327-2010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企业信息化系统集成实施指南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 50312-2007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综合布线系统工程设计与施工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》、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GB/T8567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2006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</w:rPr>
              <w:t>综合布线系统工程验收规范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135255</wp:posOffset>
                  </wp:positionV>
                  <wp:extent cx="847725" cy="368300"/>
                  <wp:effectExtent l="0" t="0" r="3175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118110</wp:posOffset>
                  </wp:positionV>
                  <wp:extent cx="847725" cy="36830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2021.8.23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014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2021-08-23T14:59:57Z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