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40" w:lineRule="auto"/>
        <w:jc w:val="center"/>
        <w:rPr>
          <w:rFonts w:ascii="宋体"/>
          <w:b/>
          <w:sz w:val="18"/>
          <w:szCs w:val="18"/>
        </w:rPr>
      </w:pPr>
      <w:bookmarkStart w:id="9" w:name="_GoBack"/>
      <w:r>
        <w:rPr>
          <w:rFonts w:hint="eastAsia" w:ascii="宋体" w:hAnsi="宋体"/>
          <w:b/>
          <w:sz w:val="30"/>
          <w:szCs w:val="30"/>
        </w:rPr>
        <w:drawing>
          <wp:inline distT="0" distB="0" distL="114300" distR="114300">
            <wp:extent cx="6182360" cy="8742680"/>
            <wp:effectExtent l="0" t="0" r="5080" b="5080"/>
            <wp:docPr id="2" name="图片 2" descr="ab8c4e52ee62013ef3d2edcf3634a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8c4e52ee62013ef3d2edcf3634a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874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河北凯睿科技有限公司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12.04.01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洗手液、消毒液、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餐具净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：原料、包材检测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-配置产品-半成品检测-包装杀菌除尘预处理-灌装、打码、包装-成品检测-入库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洗衣液、洁厕液：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原料、包材检测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-配置产品-半成品检测-灌装、打码、包装-成品检测-入库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过程中风险：生产任务未及时完成，质量出现问题，服务过程没有按相关程序等。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措施：合理安排生产、严格执行检验程序及生产程序，按操作规程操作。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需确认过程：作业指导书，客户确认等方式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噪声排放、废液排放、潜在火灾的发生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使用能源：电、水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参数：220V 50Hz，自来水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环境保护法、安全生产法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检验项目：产品外观、产品净含量、内容物活性物、内容物pH值等，需要根据产品执行标准进行型式检验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2E36A1"/>
    <w:rsid w:val="15A31EA1"/>
    <w:rsid w:val="19E7427E"/>
    <w:rsid w:val="242D5EDE"/>
    <w:rsid w:val="3B823D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6</TotalTime>
  <ScaleCrop>false</ScaleCrop>
  <LinksUpToDate>false</LinksUpToDate>
  <CharactersWithSpaces>296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大漠孤烟</cp:lastModifiedBy>
  <dcterms:modified xsi:type="dcterms:W3CDTF">2021-08-19T00:46:29Z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2052-11.1.0.9995</vt:lpwstr>
  </property>
</Properties>
</file>