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国工恒昌新材料沧州有限公司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2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line="320" w:lineRule="exact"/>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bookmarkStart w:id="5" w:name="_GoBack"/>
            <w:bookmarkEnd w:id="5"/>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0026-2021-QEO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20" w:lineRule="exact"/>
              <w:textAlignment w:val="auto"/>
              <w:rPr>
                <w:rFonts w:hint="eastAsia" w:eastAsia="宋体"/>
                <w:sz w:val="18"/>
                <w:szCs w:val="18"/>
                <w:lang w:eastAsia="zh-CN"/>
              </w:rPr>
            </w:pPr>
            <w:r>
              <w:rPr>
                <w:rFonts w:hint="eastAsia"/>
                <w:sz w:val="22"/>
                <w:szCs w:val="22"/>
                <w:lang w:val="en-US" w:eastAsia="zh-CN"/>
              </w:rPr>
              <w:t>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2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2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063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2021-08-23T01:04:52Z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