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怡达快速电梯有限公司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2.10;2.7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应红艳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2.10;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164465</wp:posOffset>
                  </wp:positionV>
                  <wp:extent cx="4925060" cy="882015"/>
                  <wp:effectExtent l="0" t="0" r="2540" b="6985"/>
                  <wp:wrapSquare wrapText="bothSides"/>
                  <wp:docPr id="5" name="图片 5" descr="162934056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29340567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506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主要能源使用：电力、柴油；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主要耗能设备：切割机、电焊机、冲压机、空压机；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主要能源参数：综合能耗、单位产品能耗（kgce/t）；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）《固定资产投资项目节能审查办法》（国家发展和改革委员会令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2016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44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）《</w:t>
            </w:r>
            <w:r>
              <w:rPr>
                <w:rFonts w:hint="default"/>
                <w:b/>
                <w:sz w:val="20"/>
                <w:lang w:val="en-US" w:eastAsia="zh-CN"/>
              </w:rPr>
              <w:t>“</w:t>
            </w:r>
            <w:r>
              <w:rPr>
                <w:rFonts w:hint="eastAsia"/>
                <w:b/>
                <w:sz w:val="20"/>
                <w:lang w:val="en-US" w:eastAsia="zh-CN"/>
              </w:rPr>
              <w:t>十三五</w:t>
            </w:r>
            <w:r>
              <w:rPr>
                <w:rFonts w:hint="default"/>
                <w:b/>
                <w:sz w:val="20"/>
                <w:lang w:val="en-US" w:eastAsia="zh-CN"/>
              </w:rPr>
              <w:t>”</w:t>
            </w:r>
            <w:r>
              <w:rPr>
                <w:rFonts w:hint="eastAsia"/>
                <w:b/>
                <w:sz w:val="20"/>
                <w:lang w:val="en-US" w:eastAsia="zh-CN"/>
              </w:rPr>
              <w:t>节能减排综合工作方案的通知》（国发〔</w:t>
            </w:r>
            <w:r>
              <w:rPr>
                <w:rFonts w:hint="default"/>
                <w:b/>
                <w:sz w:val="20"/>
                <w:lang w:val="en-US" w:eastAsia="zh-CN"/>
              </w:rPr>
              <w:t>2016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）《中华人民共和国节约能源法》（国家主席令〔</w:t>
            </w:r>
            <w:r>
              <w:rPr>
                <w:rFonts w:hint="default"/>
                <w:b/>
                <w:sz w:val="20"/>
                <w:lang w:val="en-US" w:eastAsia="zh-CN"/>
              </w:rPr>
              <w:t>2007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〕第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77 </w:t>
            </w:r>
            <w:r>
              <w:rPr>
                <w:rFonts w:hint="eastAsia"/>
                <w:b/>
                <w:sz w:val="20"/>
                <w:lang w:val="en-US" w:eastAsia="zh-CN"/>
              </w:rPr>
              <w:t>号，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年修正）；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val="en-US" w:eastAsia="zh-CN"/>
              </w:rPr>
              <w:t>）《高耗能落后机电设备（产品）淘汰目录》（第一～第四 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val="en-US" w:eastAsia="zh-CN"/>
              </w:rPr>
              <w:t>）《产业结构调整指导目录（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2019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年本）》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）《节能机电产品（设备）推荐目录》（第一批～第四批） （工信部）；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（7）《用能单位能源计量器具配备和管理通则》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 17167-2006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）《电力变压器能效限定值及能效等级》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 20052-2020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  <w:lang w:val="en-US" w:eastAsia="zh-CN"/>
              </w:rPr>
              <w:t>）《综合能耗计算通则》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2589-2020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  <w:lang w:val="en-US" w:eastAsia="zh-CN"/>
              </w:rPr>
              <w:t>）《企业能量平衡通则》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3484-2009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）《用能设备能量测试导则》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6422-2009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）《节水型企业评价导则》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GB/T 7119-2018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）《用电设备电能平衡通则》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8222-2008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  <w:lang w:val="en-US" w:eastAsia="zh-CN"/>
              </w:rPr>
              <w:t>）《单位产品能源消耗限额编制通则》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12723-2013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）《电力变压器经济运行》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13462-2008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）《节电技术经济效益计算与评价方法》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13471-2008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）《节能监测技术通则》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15316-2009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  <w:lang w:val="en-US" w:eastAsia="zh-CN"/>
              </w:rPr>
              <w:t>）《工业企业能源管理导则》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15587-2008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  <w:lang w:val="en-US" w:eastAsia="zh-CN"/>
              </w:rPr>
              <w:t>）《企业供配电系统节能监测方法》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16664-1996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  <w:lang w:val="en-US" w:eastAsia="zh-CN"/>
              </w:rPr>
              <w:t>）《机械行业节能设计规范》</w:t>
            </w:r>
            <w:r>
              <w:rPr>
                <w:rFonts w:hint="default"/>
                <w:b/>
                <w:sz w:val="20"/>
                <w:lang w:val="en-US" w:eastAsia="zh-CN"/>
              </w:rPr>
              <w:t>JBJ14-2004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机械行业认证要求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应红艳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周涛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B413E6"/>
    <w:rsid w:val="5273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2021-08-25T11:02:03Z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