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0408-2020-QEO-2021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山东九商工程机械有限公司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91371500599285558F</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Q:23,E:23,O:23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山东九商工程机械有限公司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Q：煤矿用钻机、仪器仪表（随钻测量装置）及相关配套钻杆、钻具的研发、组装、销售及技术服务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E：煤矿用钻机、仪器仪表（随钻测量装置）及相关配套钻杆、钻具的研发、组装、销售及技术服务所涉及场所的环境管理活动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O：煤矿用钻机、仪器仪表（随钻测量装置）及相关配套钻杆、钻具的研发、组装、销售及技术服务所涉及场所的职业健康安全管理活动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山东省聊城市高新区华建置地6楼6楼6608室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山东省聊城市高新区华建置地6楼6楼6608室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山东九商工程机械有限公司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山东省聊城市高新区华建置地6楼6楼6608室、山东省聊城市高新技术产业开发区聊牛路北国祥路7号1-幢</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