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0861-2021-E</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邯郸市永年区荣兴金属制品有限公司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2021年08月15日 上午至2021年08月15日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highlight w:val="green"/>
                <w:lang w:val="en-US" w:eastAsia="zh-CN"/>
              </w:rPr>
            </w:pPr>
            <w:r>
              <w:rPr>
                <w:rFonts w:hint="eastAsia"/>
                <w:b/>
                <w:color w:val="000000"/>
                <w:szCs w:val="21"/>
                <w:lang w:val="en-US" w:eastAsia="zh-CN"/>
              </w:rPr>
              <w:t>/</w:t>
            </w: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邯郸市永年区荣兴金属制品有限公司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河北省邯郸市永年区界河店乡兴业村东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057150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邯郸市永年区中国国际标准件产业城</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057150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赵家航</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15533101025</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赵清阁</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赵家航</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cs="宋体"/>
                <w:b/>
                <w:color w:val="000000"/>
                <w:kern w:val="0"/>
                <w:szCs w:val="21"/>
              </w:rPr>
            </w:pPr>
            <w:r>
              <w:rPr>
                <w:rFonts w:hint="eastAsia" w:ascii="宋体" w:hAnsi="宋体"/>
                <w:b/>
                <w:color w:val="000000"/>
                <w:szCs w:val="21"/>
              </w:rPr>
              <w:t>服务：</w:t>
            </w:r>
            <w:r>
              <w:rPr>
                <w:rFonts w:hint="eastAsia" w:ascii="宋体" w:hAnsi="宋体" w:cs="宋体"/>
                <w:color w:val="000000"/>
                <w:kern w:val="0"/>
                <w:szCs w:val="21"/>
              </w:rPr>
              <w:t>金属制品、紧固件的销售所涉及场所的相关环境管理活动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ind w:left="315" w:hanging="315" w:hangingChars="150"/>
              <w:rPr>
                <w:rFonts w:hint="eastAsia" w:ascii="宋体" w:hAnsi="宋体" w:cs="宋体"/>
                <w:bCs/>
                <w:kern w:val="0"/>
              </w:rPr>
            </w:pPr>
            <w:r>
              <w:rPr>
                <w:rFonts w:hint="eastAsia"/>
              </w:rPr>
              <w:pict>
                <v:line id="_x0000_s1026" o:spid="_x0000_s1026" o:spt="20" style="position:absolute;left:0pt;margin-left:343.5pt;margin-top:7.3pt;height:0pt;width:26.25pt;z-index:251667456;mso-width-relative:page;mso-height-relative:page;" coordsize="21600,21600">
                  <v:path arrowok="t"/>
                  <v:fill focussize="0,0"/>
                  <v:stroke endarrow="block"/>
                  <v:imagedata o:title=""/>
                  <o:lock v:ext="edit"/>
                </v:line>
              </w:pict>
            </w:r>
            <w:r>
              <w:rPr>
                <w:rFonts w:hint="eastAsia"/>
              </w:rPr>
              <w:pict>
                <v:line id="_x0000_s1027" o:spid="_x0000_s1027" o:spt="20" style="position:absolute;left:0pt;margin-left:272.25pt;margin-top:7.3pt;height:0pt;width:26.25pt;z-index:251664384;mso-width-relative:page;mso-height-relative:page;" coordsize="21600,21600">
                  <v:path arrowok="t"/>
                  <v:fill focussize="0,0"/>
                  <v:stroke endarrow="block"/>
                  <v:imagedata o:title=""/>
                  <o:lock v:ext="edit"/>
                </v:line>
              </w:pict>
            </w:r>
            <w:r>
              <w:rPr>
                <w:rFonts w:hint="eastAsia"/>
              </w:rPr>
              <w:pict>
                <v:line id="_x0000_s1028" o:spid="_x0000_s1028" o:spt="20" style="position:absolute;left:0pt;margin-left:201.75pt;margin-top:7.3pt;height:0pt;width:26.25pt;z-index:251663360;mso-width-relative:page;mso-height-relative:page;" coordsize="21600,21600">
                  <v:path arrowok="t"/>
                  <v:fill focussize="0,0"/>
                  <v:stroke endarrow="block"/>
                  <v:imagedata o:title=""/>
                  <o:lock v:ext="edit"/>
                </v:line>
              </w:pict>
            </w:r>
            <w:r>
              <w:rPr>
                <w:rFonts w:hint="eastAsia"/>
              </w:rPr>
              <w:pict>
                <v:line id="_x0000_s1029" o:spid="_x0000_s1029" o:spt="20" style="position:absolute;left:0pt;margin-left:109.55pt;margin-top:7.3pt;height:0pt;width:26.25pt;z-index:251662336;mso-width-relative:page;mso-height-relative:page;" coordsize="21600,21600">
                  <v:path arrowok="t"/>
                  <v:fill focussize="0,0"/>
                  <v:stroke endarrow="block"/>
                  <v:imagedata o:title=""/>
                  <o:lock v:ext="edit"/>
                </v:line>
              </w:pict>
            </w:r>
            <w:r>
              <w:rPr>
                <w:rFonts w:hint="eastAsia"/>
              </w:rPr>
              <w:pict>
                <v:line id="_x0000_s1030" o:spid="_x0000_s1030" o:spt="20" style="position:absolute;left:0pt;margin-left:68.2pt;margin-top:7.3pt;height:0pt;width:26.25pt;z-index:251661312;mso-width-relative:page;mso-height-relative:page;" coordsize="21600,21600">
                  <v:path arrowok="t"/>
                  <v:fill focussize="0,0"/>
                  <v:stroke endarrow="block"/>
                  <v:imagedata o:title=""/>
                  <o:lock v:ext="edit"/>
                </v:line>
              </w:pict>
            </w:r>
            <w:r>
              <w:rPr>
                <w:rFonts w:hint="eastAsia" w:ascii="宋体" w:hAnsi="宋体"/>
              </w:rPr>
              <w:t xml:space="preserve">  </w:t>
            </w:r>
            <w:r>
              <w:rPr>
                <w:rFonts w:hint="eastAsia" w:ascii="宋体" w:hAnsi="宋体" w:cs="宋体"/>
                <w:bCs/>
                <w:kern w:val="0"/>
              </w:rPr>
              <w:t xml:space="preserve">确定顾客需求    洽谈    服务要求评审      签订合同     组织货源    </w:t>
            </w:r>
          </w:p>
          <w:p>
            <w:pPr>
              <w:ind w:left="315" w:hanging="315" w:hangingChars="150"/>
              <w:rPr>
                <w:rFonts w:hint="eastAsia" w:ascii="宋体" w:hAnsi="宋体" w:cs="宋体"/>
                <w:bCs/>
                <w:kern w:val="0"/>
              </w:rPr>
            </w:pPr>
          </w:p>
          <w:p>
            <w:pPr>
              <w:ind w:left="315" w:hanging="315" w:hangingChars="150"/>
              <w:rPr>
                <w:rFonts w:ascii="宋体" w:hAnsi="宋体" w:cs="宋体"/>
                <w:bCs/>
                <w:kern w:val="0"/>
              </w:rPr>
            </w:pPr>
            <w:r>
              <w:rPr>
                <w:rFonts w:hint="eastAsia"/>
              </w:rPr>
              <w:pict>
                <v:line id="_x0000_s1031" o:spid="_x0000_s1031" o:spt="20" style="position:absolute;left:0pt;margin-left:40.55pt;margin-top:9.7pt;height:0pt;width:26.25pt;z-index:251666432;mso-width-relative:page;mso-height-relative:page;" coordsize="21600,21600">
                  <v:path arrowok="t"/>
                  <v:fill focussize="0,0"/>
                  <v:stroke endarrow="block"/>
                  <v:imagedata o:title=""/>
                  <o:lock v:ext="edit"/>
                </v:line>
              </w:pict>
            </w:r>
            <w:r>
              <w:rPr>
                <w:rFonts w:hint="eastAsia"/>
              </w:rPr>
              <w:pict>
                <v:line id="_x0000_s1032" o:spid="_x0000_s1032" o:spt="20" style="position:absolute;left:0pt;margin-left:83.3pt;margin-top:9.7pt;height:0pt;width:26.25pt;z-index:251665408;mso-width-relative:page;mso-height-relative:page;" coordsize="21600,21600">
                  <v:path arrowok="t"/>
                  <v:fill focussize="0,0"/>
                  <v:stroke endarrow="block"/>
                  <v:imagedata o:title=""/>
                  <o:lock v:ext="edit"/>
                </v:line>
              </w:pict>
            </w:r>
            <w:r>
              <w:rPr>
                <w:rFonts w:hint="eastAsia" w:ascii="宋体" w:hAnsi="宋体" w:cs="宋体"/>
                <w:bCs/>
                <w:kern w:val="0"/>
              </w:rPr>
              <w:t>产品交付    结算      顾客满意度调查</w:t>
            </w:r>
          </w:p>
          <w:p>
            <w:pPr>
              <w:rPr>
                <w:rFonts w:hint="eastAsia" w:eastAsia="仿宋_GB2312"/>
              </w:rPr>
            </w:pP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default" w:ascii="宋体" w:hAnsi="宋体" w:eastAsia="宋体"/>
                <w:b/>
                <w:color w:val="000000"/>
                <w:szCs w:val="21"/>
                <w:lang w:val="en-US" w:eastAsia="zh-CN"/>
              </w:rPr>
            </w:pPr>
            <w:bookmarkStart w:id="34" w:name="审核范围"/>
            <w:r>
              <w:rPr>
                <w:rFonts w:hint="eastAsia" w:ascii="宋体" w:hAnsi="宋体" w:cs="宋体"/>
                <w:color w:val="000000"/>
                <w:kern w:val="0"/>
                <w:szCs w:val="21"/>
              </w:rPr>
              <w:t>金属制品、紧固件的销售</w:t>
            </w:r>
            <w:bookmarkEnd w:id="34"/>
            <w:r>
              <w:rPr>
                <w:rFonts w:hint="eastAsia" w:ascii="宋体" w:hAnsi="宋体" w:cs="宋体"/>
                <w:color w:val="000000"/>
                <w:kern w:val="0"/>
                <w:szCs w:val="21"/>
              </w:rPr>
              <w:t>及</w:t>
            </w:r>
            <w:r>
              <w:rPr>
                <w:rFonts w:hint="eastAsia" w:ascii="宋体" w:hAnsi="宋体" w:cs="宋体"/>
                <w:color w:val="000000"/>
                <w:kern w:val="0"/>
                <w:szCs w:val="21"/>
                <w:lang w:val="en-US" w:eastAsia="zh-CN"/>
              </w:rPr>
              <w:t>所涉及场所的</w:t>
            </w:r>
            <w:r>
              <w:rPr>
                <w:rFonts w:hint="eastAsia" w:ascii="宋体" w:hAnsi="宋体" w:cs="宋体"/>
                <w:color w:val="000000"/>
                <w:kern w:val="0"/>
                <w:szCs w:val="21"/>
              </w:rPr>
              <w:t xml:space="preserve">相关环境管理活动 </w:t>
            </w:r>
            <w:bookmarkStart w:id="36" w:name="_GoBack"/>
            <w:bookmarkEnd w:id="36"/>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59"/>
        <w:gridCol w:w="630"/>
        <w:gridCol w:w="2520"/>
        <w:gridCol w:w="14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59"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2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0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ascii="宋体" w:hAnsi="宋体" w:cs="宋体"/>
                <w:color w:val="000000"/>
                <w:kern w:val="0"/>
                <w:szCs w:val="21"/>
              </w:rPr>
              <w:t>邯郸市永年区荣兴金属制品有限公司</w:t>
            </w:r>
          </w:p>
          <w:p>
            <w:pPr>
              <w:spacing w:before="40" w:after="40"/>
              <w:rPr>
                <w:rFonts w:eastAsia="黑体"/>
                <w:szCs w:val="21"/>
                <w:lang w:val="de-DE" w:eastAsia="ja-JP"/>
              </w:rPr>
            </w:pPr>
            <w:r>
              <w:rPr>
                <w:rFonts w:hint="eastAsia" w:ascii="宋体" w:hAnsi="宋体" w:cs="宋体"/>
                <w:color w:val="000000"/>
                <w:kern w:val="0"/>
                <w:szCs w:val="21"/>
                <w:lang w:val="de-DE" w:eastAsia="ja-JP"/>
              </w:rPr>
              <w:t>河北省邯郸市永年区界河店乡兴业村东</w:t>
            </w:r>
          </w:p>
        </w:tc>
        <w:tc>
          <w:tcPr>
            <w:tcW w:w="1759" w:type="dxa"/>
          </w:tcPr>
          <w:p>
            <w:pPr>
              <w:spacing w:before="40" w:after="40"/>
              <w:rPr>
                <w:rFonts w:eastAsia="黑体"/>
                <w:szCs w:val="21"/>
                <w:lang w:val="de-DE" w:eastAsia="ja-JP"/>
              </w:rPr>
            </w:pPr>
            <w:r>
              <w:rPr>
                <w:rFonts w:hint="eastAsia" w:ascii="宋体" w:hAnsi="宋体" w:cs="宋体"/>
                <w:color w:val="000000"/>
                <w:kern w:val="0"/>
                <w:szCs w:val="21"/>
              </w:rPr>
              <w:t>邯郸市永年区中国国际标准件产业城</w:t>
            </w:r>
          </w:p>
        </w:tc>
        <w:tc>
          <w:tcPr>
            <w:tcW w:w="630"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520" w:type="dxa"/>
            <w:vAlign w:val="center"/>
          </w:tcPr>
          <w:p>
            <w:pPr>
              <w:pStyle w:val="19"/>
              <w:rPr>
                <w:rFonts w:eastAsia="黑体" w:cs="Arial"/>
                <w:sz w:val="21"/>
                <w:szCs w:val="21"/>
                <w:lang w:val="en-US" w:eastAsia="ja-JP"/>
              </w:rPr>
            </w:pPr>
            <w:r>
              <w:rPr>
                <w:rFonts w:hint="eastAsia" w:ascii="宋体" w:hAnsi="宋体" w:eastAsia="宋体" w:cs="宋体"/>
                <w:color w:val="000000"/>
                <w:kern w:val="0"/>
                <w:sz w:val="21"/>
                <w:szCs w:val="21"/>
                <w:lang w:val="en-US" w:eastAsia="ja-JP" w:bidi="ar-SA"/>
              </w:rPr>
              <w:t>金属制品、紧固件的销售及相关的环境管理活动</w:t>
            </w:r>
          </w:p>
        </w:tc>
        <w:tc>
          <w:tcPr>
            <w:tcW w:w="1401" w:type="dxa"/>
            <w:vAlign w:val="center"/>
          </w:tcPr>
          <w:p>
            <w:pPr>
              <w:spacing w:before="40" w:after="40"/>
              <w:rPr>
                <w:rFonts w:eastAsia="黑体"/>
                <w:szCs w:val="21"/>
                <w:lang w:eastAsia="ja-JP"/>
              </w:rPr>
            </w:pPr>
            <w:r>
              <w:rPr>
                <w:rFonts w:hint="eastAsia" w:ascii="宋体" w:hAnsi="宋体" w:eastAsia="宋体" w:cs="宋体"/>
                <w:color w:val="000000"/>
                <w:kern w:val="0"/>
                <w:sz w:val="21"/>
                <w:szCs w:val="21"/>
                <w:lang w:val="de-DE" w:eastAsia="ja-JP" w:bidi="ar-SA"/>
              </w:rPr>
              <w:t>GB3095-2012《环境空气质量标准》</w:t>
            </w:r>
          </w:p>
        </w:tc>
        <w:tc>
          <w:tcPr>
            <w:tcW w:w="668" w:type="dxa"/>
            <w:shd w:val="clear" w:color="auto" w:fill="FFFFFF"/>
          </w:tcPr>
          <w:p>
            <w:pPr>
              <w:rPr>
                <w:rFonts w:eastAsia="黑体"/>
                <w:szCs w:val="21"/>
              </w:rPr>
            </w:pPr>
            <w:r>
              <w:rPr>
                <w:rFonts w:hint="eastAsia" w:ascii="宋体" w:hAnsi="宋体"/>
                <w:b/>
                <w:color w:val="000000"/>
                <w:szCs w:val="21"/>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520" w:type="dxa"/>
            <w:vAlign w:val="center"/>
          </w:tcPr>
          <w:p>
            <w:pPr>
              <w:spacing w:before="40" w:after="40"/>
              <w:rPr>
                <w:rFonts w:eastAsia="黑体"/>
                <w:szCs w:val="21"/>
                <w:lang w:eastAsia="ja-JP"/>
              </w:rPr>
            </w:pPr>
          </w:p>
        </w:tc>
        <w:tc>
          <w:tcPr>
            <w:tcW w:w="1401"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5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520" w:type="dxa"/>
            <w:vAlign w:val="center"/>
          </w:tcPr>
          <w:p>
            <w:pPr>
              <w:spacing w:before="40" w:after="40"/>
              <w:rPr>
                <w:rFonts w:eastAsia="黑体"/>
                <w:szCs w:val="21"/>
                <w:lang w:eastAsia="ja-JP"/>
              </w:rPr>
            </w:pPr>
          </w:p>
        </w:tc>
        <w:tc>
          <w:tcPr>
            <w:tcW w:w="1401"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7</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7  月 10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hint="default"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办公室 、供销部、办公区域</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u w:val="single"/>
              </w:rPr>
              <w:t>2021-08-15</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bCs/>
          <w:color w:val="000000"/>
          <w:sz w:val="26"/>
          <w:szCs w:val="26"/>
        </w:rPr>
        <w:drawing>
          <wp:inline distT="0" distB="0" distL="114300" distR="114300">
            <wp:extent cx="751840" cy="153035"/>
            <wp:effectExtent l="0" t="0" r="10160" b="1206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2021.8.15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u w:val="none"/>
                <w:lang w:val="en-US" w:eastAsia="zh-CN"/>
              </w:rPr>
            </w:pPr>
            <w:r>
              <w:rPr>
                <w:rFonts w:hint="eastAsia" w:ascii="宋体"/>
                <w:color w:val="000000"/>
                <w:sz w:val="21"/>
                <w:szCs w:val="21"/>
                <w:u w:val="none"/>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u w:val="none"/>
                <w:lang w:val="en-US" w:eastAsia="zh-CN"/>
              </w:rPr>
            </w:pPr>
            <w:r>
              <w:rPr>
                <w:rFonts w:hint="eastAsia"/>
                <w:color w:val="000000"/>
                <w:sz w:val="21"/>
                <w:szCs w:val="21"/>
                <w:u w:val="none"/>
                <w:lang w:val="en-US" w:eastAsia="zh-CN"/>
              </w:rPr>
              <w:t xml:space="preserve"> 无</w:t>
            </w:r>
          </w:p>
        </w:tc>
        <w:tc>
          <w:tcPr>
            <w:tcW w:w="922" w:type="dxa"/>
            <w:vAlign w:val="center"/>
          </w:tcPr>
          <w:p>
            <w:pPr>
              <w:pStyle w:val="6"/>
              <w:pBdr>
                <w:bottom w:val="none" w:color="auto" w:sz="0" w:space="0"/>
              </w:pBdr>
              <w:ind w:right="600"/>
              <w:jc w:val="both"/>
              <w:rPr>
                <w:color w:val="000000"/>
                <w:sz w:val="21"/>
                <w:szCs w:val="21"/>
                <w:u w:val="none"/>
              </w:rPr>
            </w:pPr>
          </w:p>
        </w:tc>
        <w:tc>
          <w:tcPr>
            <w:tcW w:w="1133" w:type="dxa"/>
            <w:vAlign w:val="center"/>
          </w:tcPr>
          <w:p>
            <w:pPr>
              <w:pStyle w:val="6"/>
              <w:pBdr>
                <w:bottom w:val="none" w:color="auto" w:sz="0" w:space="0"/>
              </w:pBdr>
              <w:ind w:right="600"/>
              <w:jc w:val="both"/>
              <w:rPr>
                <w:color w:val="000000"/>
                <w:sz w:val="21"/>
                <w:szCs w:val="21"/>
                <w:u w:val="none"/>
              </w:rPr>
            </w:pPr>
          </w:p>
        </w:tc>
        <w:tc>
          <w:tcPr>
            <w:tcW w:w="934" w:type="dxa"/>
            <w:vAlign w:val="center"/>
          </w:tcPr>
          <w:p>
            <w:pPr>
              <w:pStyle w:val="6"/>
              <w:pBdr>
                <w:bottom w:val="none" w:color="auto" w:sz="0" w:space="0"/>
              </w:pBdr>
              <w:ind w:right="600"/>
              <w:jc w:val="both"/>
              <w:rPr>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u w:val="none"/>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u w:val="none"/>
              </w:rPr>
            </w:pPr>
          </w:p>
        </w:tc>
        <w:tc>
          <w:tcPr>
            <w:tcW w:w="922" w:type="dxa"/>
            <w:vAlign w:val="center"/>
          </w:tcPr>
          <w:p>
            <w:pPr>
              <w:pStyle w:val="6"/>
              <w:pBdr>
                <w:bottom w:val="none" w:color="auto" w:sz="0" w:space="0"/>
              </w:pBdr>
              <w:ind w:right="600"/>
              <w:jc w:val="both"/>
              <w:rPr>
                <w:color w:val="000000"/>
                <w:sz w:val="21"/>
                <w:szCs w:val="21"/>
                <w:u w:val="none"/>
              </w:rPr>
            </w:pPr>
          </w:p>
        </w:tc>
        <w:tc>
          <w:tcPr>
            <w:tcW w:w="1133" w:type="dxa"/>
            <w:vAlign w:val="center"/>
          </w:tcPr>
          <w:p>
            <w:pPr>
              <w:pStyle w:val="6"/>
              <w:pBdr>
                <w:bottom w:val="none" w:color="auto" w:sz="0" w:space="0"/>
              </w:pBdr>
              <w:ind w:right="600"/>
              <w:jc w:val="both"/>
              <w:rPr>
                <w:color w:val="000000"/>
                <w:sz w:val="21"/>
                <w:szCs w:val="21"/>
                <w:u w:val="none"/>
              </w:rPr>
            </w:pPr>
          </w:p>
        </w:tc>
        <w:tc>
          <w:tcPr>
            <w:tcW w:w="934" w:type="dxa"/>
            <w:vAlign w:val="center"/>
          </w:tcPr>
          <w:p>
            <w:pPr>
              <w:pStyle w:val="6"/>
              <w:pBdr>
                <w:bottom w:val="none" w:color="auto" w:sz="0" w:space="0"/>
              </w:pBdr>
              <w:ind w:right="600"/>
              <w:jc w:val="both"/>
              <w:rPr>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u w:val="none"/>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u w:val="none"/>
              </w:rPr>
            </w:pPr>
          </w:p>
        </w:tc>
        <w:tc>
          <w:tcPr>
            <w:tcW w:w="922" w:type="dxa"/>
            <w:vAlign w:val="center"/>
          </w:tcPr>
          <w:p>
            <w:pPr>
              <w:pStyle w:val="6"/>
              <w:pBdr>
                <w:bottom w:val="none" w:color="auto" w:sz="0" w:space="0"/>
              </w:pBdr>
              <w:ind w:right="600"/>
              <w:jc w:val="both"/>
              <w:rPr>
                <w:color w:val="000000"/>
                <w:sz w:val="21"/>
                <w:szCs w:val="21"/>
                <w:u w:val="none"/>
              </w:rPr>
            </w:pPr>
          </w:p>
        </w:tc>
        <w:tc>
          <w:tcPr>
            <w:tcW w:w="1133" w:type="dxa"/>
            <w:vAlign w:val="center"/>
          </w:tcPr>
          <w:p>
            <w:pPr>
              <w:pStyle w:val="6"/>
              <w:pBdr>
                <w:bottom w:val="none" w:color="auto" w:sz="0" w:space="0"/>
              </w:pBdr>
              <w:ind w:right="600"/>
              <w:jc w:val="both"/>
              <w:rPr>
                <w:color w:val="000000"/>
                <w:sz w:val="21"/>
                <w:szCs w:val="21"/>
                <w:u w:val="none"/>
              </w:rPr>
            </w:pPr>
          </w:p>
        </w:tc>
        <w:tc>
          <w:tcPr>
            <w:tcW w:w="934" w:type="dxa"/>
            <w:vAlign w:val="center"/>
          </w:tcPr>
          <w:p>
            <w:pPr>
              <w:pStyle w:val="6"/>
              <w:pBdr>
                <w:bottom w:val="none" w:color="auto" w:sz="0" w:space="0"/>
              </w:pBdr>
              <w:ind w:right="600"/>
              <w:jc w:val="both"/>
              <w:rPr>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u w:val="none"/>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u w:val="none"/>
              </w:rPr>
            </w:pPr>
          </w:p>
        </w:tc>
        <w:tc>
          <w:tcPr>
            <w:tcW w:w="922" w:type="dxa"/>
            <w:vAlign w:val="center"/>
          </w:tcPr>
          <w:p>
            <w:pPr>
              <w:pStyle w:val="6"/>
              <w:pBdr>
                <w:bottom w:val="none" w:color="auto" w:sz="0" w:space="0"/>
              </w:pBdr>
              <w:ind w:right="600"/>
              <w:jc w:val="both"/>
              <w:rPr>
                <w:color w:val="000000"/>
                <w:sz w:val="21"/>
                <w:szCs w:val="21"/>
                <w:u w:val="none"/>
              </w:rPr>
            </w:pPr>
          </w:p>
        </w:tc>
        <w:tc>
          <w:tcPr>
            <w:tcW w:w="1133" w:type="dxa"/>
            <w:vAlign w:val="center"/>
          </w:tcPr>
          <w:p>
            <w:pPr>
              <w:pStyle w:val="6"/>
              <w:pBdr>
                <w:bottom w:val="none" w:color="auto" w:sz="0" w:space="0"/>
              </w:pBdr>
              <w:ind w:right="600"/>
              <w:jc w:val="both"/>
              <w:rPr>
                <w:color w:val="000000"/>
                <w:sz w:val="21"/>
                <w:szCs w:val="21"/>
                <w:u w:val="none"/>
              </w:rPr>
            </w:pPr>
          </w:p>
        </w:tc>
        <w:tc>
          <w:tcPr>
            <w:tcW w:w="934" w:type="dxa"/>
            <w:vAlign w:val="center"/>
          </w:tcPr>
          <w:p>
            <w:pPr>
              <w:pStyle w:val="6"/>
              <w:pBdr>
                <w:bottom w:val="none" w:color="auto" w:sz="0" w:space="0"/>
              </w:pBdr>
              <w:ind w:right="600"/>
              <w:jc w:val="both"/>
              <w:rPr>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u w:val="none"/>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u w:val="none"/>
              </w:rPr>
            </w:pPr>
          </w:p>
        </w:tc>
        <w:tc>
          <w:tcPr>
            <w:tcW w:w="922" w:type="dxa"/>
            <w:vAlign w:val="center"/>
          </w:tcPr>
          <w:p>
            <w:pPr>
              <w:pStyle w:val="6"/>
              <w:pBdr>
                <w:bottom w:val="none" w:color="auto" w:sz="0" w:space="0"/>
              </w:pBdr>
              <w:ind w:right="600"/>
              <w:jc w:val="both"/>
              <w:rPr>
                <w:color w:val="000000"/>
                <w:sz w:val="21"/>
                <w:szCs w:val="21"/>
                <w:u w:val="none"/>
              </w:rPr>
            </w:pPr>
          </w:p>
        </w:tc>
        <w:tc>
          <w:tcPr>
            <w:tcW w:w="1133" w:type="dxa"/>
            <w:vAlign w:val="center"/>
          </w:tcPr>
          <w:p>
            <w:pPr>
              <w:pStyle w:val="6"/>
              <w:pBdr>
                <w:bottom w:val="none" w:color="auto" w:sz="0" w:space="0"/>
              </w:pBdr>
              <w:ind w:right="600"/>
              <w:jc w:val="both"/>
              <w:rPr>
                <w:color w:val="000000"/>
                <w:sz w:val="21"/>
                <w:szCs w:val="21"/>
                <w:u w:val="none"/>
              </w:rPr>
            </w:pPr>
          </w:p>
        </w:tc>
        <w:tc>
          <w:tcPr>
            <w:tcW w:w="934" w:type="dxa"/>
            <w:vAlign w:val="center"/>
          </w:tcPr>
          <w:p>
            <w:pPr>
              <w:pStyle w:val="6"/>
              <w:pBdr>
                <w:bottom w:val="none" w:color="auto" w:sz="0" w:space="0"/>
              </w:pBdr>
              <w:ind w:right="600"/>
              <w:jc w:val="both"/>
              <w:rPr>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97E43CE"/>
    <w:rsid w:val="1E4D02EE"/>
    <w:rsid w:val="5BDB4A0E"/>
    <w:rsid w:val="7B0819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2021-08-18T03:26:44Z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