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322"/>
        <w:gridCol w:w="1208"/>
        <w:gridCol w:w="5"/>
        <w:gridCol w:w="887"/>
        <w:gridCol w:w="2000"/>
        <w:gridCol w:w="98"/>
        <w:gridCol w:w="1024"/>
        <w:gridCol w:w="18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0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422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四川泰安生科技咨询有限公司</w:t>
            </w:r>
            <w:bookmarkEnd w:id="7"/>
          </w:p>
        </w:tc>
        <w:tc>
          <w:tcPr>
            <w:tcW w:w="1122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880" w:type="dxa"/>
            <w:tcBorders>
              <w:top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Q:34.02.00,34.06.00</w:t>
            </w:r>
          </w:p>
          <w:p>
            <w:pPr>
              <w:spacing w:line="240" w:lineRule="auto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E:34.02.00,34.06.00</w:t>
            </w:r>
          </w:p>
          <w:p>
            <w:pPr>
              <w:snapToGrid w:val="0"/>
              <w:spacing w:line="240" w:lineRule="auto"/>
              <w:jc w:val="both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O:34.02.00,34.06.00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0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892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000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Q:34.02.00,34.06.00</w:t>
            </w:r>
          </w:p>
          <w:p>
            <w:pPr>
              <w:spacing w:line="240" w:lineRule="auto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E:34.02.00,34.06.00</w:t>
            </w:r>
          </w:p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O:34.02.00,34.06.00</w:t>
            </w:r>
          </w:p>
        </w:tc>
        <w:tc>
          <w:tcPr>
            <w:tcW w:w="1122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88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2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20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</w:t>
            </w:r>
          </w:p>
        </w:tc>
        <w:tc>
          <w:tcPr>
            <w:tcW w:w="892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22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8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pacing w:line="400" w:lineRule="atLeast"/>
              <w:jc w:val="left"/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环境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检测流程：接受委托</w:t>
            </w:r>
            <w:r>
              <w:rPr>
                <w:rFonts w:ascii="宋体" w:hAnsi="宋体" w:eastAsia="宋体" w:cs="Times New Roman"/>
                <w:b w:val="0"/>
                <w:bCs w:val="0"/>
                <w:sz w:val="21"/>
                <w:szCs w:val="21"/>
              </w:rPr>
              <w:t>—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现场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勘查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--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编制监测方案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---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开展现场监测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——进行实验分析--编制监测报告</w:t>
            </w:r>
            <w:r>
              <w:rPr>
                <w:rFonts w:ascii="宋体" w:hAnsi="宋体" w:eastAsia="宋体" w:cs="Times New Roman"/>
                <w:b w:val="0"/>
                <w:bCs w:val="0"/>
                <w:sz w:val="21"/>
                <w:szCs w:val="21"/>
              </w:rPr>
              <w:t>—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报告审核——交付报告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eastAsia="zh-CN"/>
              </w:rPr>
              <w:t>。</w:t>
            </w:r>
          </w:p>
          <w:p>
            <w:pPr>
              <w:spacing w:line="400" w:lineRule="atLeas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szCs w:val="21"/>
              </w:rPr>
              <w:t>评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价验收流程：接受委托—现场调查---收集资料---编制评价报告——报告审核——交付报告</w:t>
            </w: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质量风险：客户需求、方案编制、检测分析、编制报告等不满足要求；方案编制和检测分析过程通过拟定规范和作业指导书进行控制。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服务过程中潜在火灾、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化学药品泄漏挥发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风险；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现场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勘查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时交通意外伤害风险等。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pacing w:line="400" w:lineRule="atLeast"/>
              <w:jc w:val="left"/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潜在火灾，固废排放，污水排放，化学药品泄漏挥发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采取管理方案和应急处理方案控制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pacing w:line="200" w:lineRule="exact"/>
              <w:ind w:left="-120" w:leftChars="-50" w:right="-120" w:rightChars="-50"/>
              <w:jc w:val="both"/>
              <w:rPr>
                <w:b/>
                <w:sz w:val="20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触电</w:t>
            </w:r>
            <w:r>
              <w:rPr>
                <w:rFonts w:hint="eastAsia"/>
                <w:bCs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交通伤害</w:t>
            </w:r>
            <w:r>
              <w:rPr>
                <w:rFonts w:hint="eastAsia"/>
                <w:bCs/>
                <w:color w:val="000000"/>
                <w:kern w:val="0"/>
                <w:sz w:val="18"/>
                <w:szCs w:val="18"/>
                <w:lang w:eastAsia="zh-CN"/>
              </w:rPr>
              <w:t>；</w:t>
            </w:r>
            <w:r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潜在火灾</w:t>
            </w:r>
            <w:r>
              <w:rPr>
                <w:rFonts w:hint="eastAsia"/>
                <w:bCs/>
                <w:color w:val="000000"/>
                <w:kern w:val="0"/>
                <w:sz w:val="18"/>
                <w:szCs w:val="18"/>
                <w:lang w:eastAsia="zh-CN"/>
              </w:rPr>
              <w:t>；烧伤</w:t>
            </w:r>
            <w:r>
              <w:rPr>
                <w:rFonts w:hint="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、中毒、烫伤；</w:t>
            </w:r>
            <w:r>
              <w:rPr>
                <w:rFonts w:hint="eastAsia"/>
                <w:bCs/>
                <w:color w:val="000000"/>
                <w:kern w:val="0"/>
                <w:sz w:val="18"/>
                <w:szCs w:val="18"/>
                <w:lang w:eastAsia="zh-CN"/>
              </w:rPr>
              <w:t>机械伤害，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采取管理方案和应急处理方案控制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环境空气.PM&lt;下标 10&gt;和PM&lt;下标 2.5&gt;的测定.重量法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Hj 618-2011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 xml:space="preserve"> 、 天然气.含硫化合物的测定.第2部分:用亚甲蓝法测定硫化氢含量GB/T 11060.2-2008、二次供水设施卫生规范GB 17051-1997、 工作场所空气有毒物质测定 第1部分：总则GBZ/T 300.1-2017、生活饮用水标准检验方法 消毒剂指标GB/T 5750.11-2006 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生活饮用水标准检验方法 金属指标GB/T 5750.6-2006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室内空气质量标准GB/T 18883-2002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生产建设项目水土保持技术标准GB 50433-2018等标准。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  <w:t>记录和报告规范性、标准符合性</w:t>
            </w:r>
            <w:bookmarkStart w:id="8" w:name="_GoBack"/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404495</wp:posOffset>
                  </wp:positionH>
                  <wp:positionV relativeFrom="paragraph">
                    <wp:posOffset>173990</wp:posOffset>
                  </wp:positionV>
                  <wp:extent cx="323850" cy="335280"/>
                  <wp:effectExtent l="0" t="0" r="6350" b="7620"/>
                  <wp:wrapNone/>
                  <wp:docPr id="1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35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2021.8.18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421640</wp:posOffset>
                  </wp:positionH>
                  <wp:positionV relativeFrom="paragraph">
                    <wp:posOffset>160655</wp:posOffset>
                  </wp:positionV>
                  <wp:extent cx="323850" cy="335280"/>
                  <wp:effectExtent l="0" t="0" r="6350" b="7620"/>
                  <wp:wrapNone/>
                  <wp:docPr id="5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35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2021.8.18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6DCF6A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1</TotalTime>
  <ScaleCrop>false</ScaleCrop>
  <LinksUpToDate>false</LinksUpToDate>
  <CharactersWithSpaces>296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宋明珠</cp:lastModifiedBy>
  <dcterms:modified xsi:type="dcterms:W3CDTF">2021-08-17T23:48:01Z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2052-11.1.0.10700</vt:lpwstr>
  </property>
</Properties>
</file>