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北京杰诚康达科技有限公司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0814-2021-QEO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2021-N1QMS-3205805</w:t>
            </w:r>
          </w:p>
          <w:p>
            <w:pPr>
              <w:snapToGrid w:val="0"/>
              <w:spacing w:line="320" w:lineRule="exact"/>
              <w:ind w:left="1309"/>
              <w:rPr>
                <w:sz w:val="22"/>
                <w:szCs w:val="22"/>
                <w:highlight w:val="yellow"/>
              </w:rPr>
            </w:pPr>
            <w:r>
              <w:rPr>
                <w:sz w:val="22"/>
                <w:szCs w:val="22"/>
                <w:highlight w:val="yellow"/>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ISC-JSZJ-247</w:t>
            </w:r>
          </w:p>
          <w:p>
            <w:pPr>
              <w:snapToGrid w:val="0"/>
              <w:spacing w:line="320" w:lineRule="exact"/>
              <w:ind w:left="1309"/>
              <w:rPr>
                <w:sz w:val="22"/>
                <w:szCs w:val="22"/>
                <w:highlight w:val="yellow"/>
              </w:rPr>
            </w:pPr>
            <w:r>
              <w:rPr>
                <w:sz w:val="22"/>
                <w:szCs w:val="22"/>
                <w:highlight w:val="yellow"/>
              </w:rPr>
              <w:t>ISC-JSZJ-247</w:t>
            </w:r>
          </w:p>
          <w:p>
            <w:pPr>
              <w:snapToGrid w:val="0"/>
              <w:spacing w:line="320" w:lineRule="exact"/>
              <w:ind w:left="1309"/>
              <w:rPr>
                <w:sz w:val="22"/>
                <w:szCs w:val="22"/>
                <w:highlight w:val="yellow"/>
              </w:rPr>
            </w:pPr>
            <w:r>
              <w:rPr>
                <w:sz w:val="22"/>
                <w:szCs w:val="22"/>
                <w:highlight w:val="yellow"/>
              </w:rPr>
              <w:t>ISC-JSZJ-247</w:t>
            </w:r>
          </w:p>
          <w:p>
            <w:pPr>
              <w:snapToGrid w:val="0"/>
              <w:spacing w:line="320" w:lineRule="exact"/>
              <w:ind w:left="1309"/>
              <w:rPr>
                <w:sz w:val="22"/>
                <w:szCs w:val="22"/>
                <w:highlight w:val="yellow"/>
              </w:rPr>
            </w:pPr>
            <w:r>
              <w:rPr>
                <w:sz w:val="22"/>
                <w:szCs w:val="22"/>
                <w:highlight w:val="yellow"/>
              </w:rPr>
              <w:t>北京正方形互动传播有限公司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237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2021-08-19T12:40:47Z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