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093"/>
        <w:gridCol w:w="18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6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江西白莲智能科技集团有限公司</w:t>
            </w:r>
            <w:bookmarkEnd w:id="7"/>
          </w:p>
        </w:tc>
        <w:tc>
          <w:tcPr>
            <w:tcW w:w="128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1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E：17.12.05;19.14.00;23.01.01;23.01.04;23.06.00;28.08.02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O：17.12.05;19.14.00;23.01.01;23.01.04;23.06.00;28.08.02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石泽龙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E：17.12.05;19.14.00;23.01.01;23.01.04;23.06.00;28.08.02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O：17.12.05;19.14.00;23.01.01;23.01.04;23.06.00;28.08.02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生产工艺流程：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下料→冲压 → 折弯→焊接→整形→初成品→喷涂→固化→下件→成品入库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安装流程：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地面铺装——预埋轨道——安装底盘——装配电机、传动抽——安装立柱、隔板、挂板——安装门板锁具——调试验收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重大环境因素：固体废物排放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潜在火灾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噪声排放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、粉尘、废气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通用措施——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制定目标、指标，编制运行控制文件，运行控制；一旦发生按相关应急预案执行。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固废——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一般固废集中收集外售；办公危废以旧换新由供应商带回；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噪声排放——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选用低噪声设备，合理布局，隔声减震，厂房隔音；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潜在火灾——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设备、电路定期检修、检查，电工持证上岗；配置消防器材、做好火灾预防措施；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粉尘、废气——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废气、粉尘回收系统设备回收后，空气净化机处理、排气筒排放。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不可接受风险：机械伤害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、噪声排放、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潜在火灾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触电伤害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、粉尘</w:t>
            </w: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通用控制措施——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火灾，触电——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设备、电路定期检修、检查，电工持证上岗；配置消防器材、做好火灾预防措施；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噪声排放——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粉尘、废气——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废气、粉尘回收系统设备回收后，空气净化机处理、排气筒排放；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机械伤害——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 w:firstLine="396" w:firstLineChars="200"/>
              <w:textAlignment w:val="baseline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GB/T3325-2017金属家具通用技术条件、QB/1097—2010钢制文件柜技术条件、GB/T 13667.1-2017钢制书架 第1部分:单、复柱书架、GB/T 13667.2—2017积层式钢制书架技术条件、GB/T 13667.3-2013钢制书架 第3部分:手动密集书架、GB/T 13667.4-2013钢制书架 第4部分:电动密集书架、GB/T13668-2015钢制书柜、资料柜通用技术条件、QB/T2714-2013学生公寓多功能家具、GB/T28200-2011钢制储物柜(架)技术要求及试验方法、GA 1051-2013枪支弹药专用保险柜；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石泽龙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9" w:name="_GoBack"/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318736D"/>
    <w:rsid w:val="6BAE18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2021-08-17T09:06:23Z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