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重庆豪门布艺有限公司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E：04.04.07;14.02.03;29.12.00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Q：04.04.07;14.02.03;29.12.00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O：04.04.07;14.02.03;29.12.00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Merge w:val="restart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卢静</w:t>
            </w:r>
          </w:p>
        </w:tc>
        <w:tc>
          <w:tcPr>
            <w:tcW w:w="1290" w:type="dxa"/>
            <w:gridSpan w:val="2"/>
            <w:vMerge w:val="restart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Q/E/O:</w:t>
            </w:r>
            <w:r>
              <w:rPr>
                <w:sz w:val="20"/>
                <w:lang w:val="de-DE"/>
              </w:rPr>
              <w:t>04.04.07,14.02.03</w:t>
            </w:r>
          </w:p>
        </w:tc>
        <w:tc>
          <w:tcPr>
            <w:tcW w:w="1720" w:type="dxa"/>
            <w:gridSpan w:val="2"/>
            <w:vMerge w:val="restart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</w:p>
        </w:tc>
        <w:tc>
          <w:tcPr>
            <w:tcW w:w="1379" w:type="dxa"/>
            <w:vMerge w:val="restart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color w:val="000000" w:themeColor="text1"/>
                <w:sz w:val="20"/>
              </w:rPr>
            </w:pPr>
            <w:r>
              <w:rPr>
                <w:rFonts w:hint="eastAsia"/>
                <w:b/>
                <w:color w:val="000000" w:themeColor="text1"/>
                <w:sz w:val="20"/>
              </w:rPr>
              <w:t>会议室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Merge w:val="continue"/>
            <w:tcBorders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杨珍全</w:t>
            </w:r>
          </w:p>
        </w:tc>
        <w:tc>
          <w:tcPr>
            <w:tcW w:w="1290" w:type="dxa"/>
            <w:gridSpan w:val="2"/>
            <w:vMerge w:val="continue"/>
            <w:tcBorders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E:14.02.03,29.12.00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O:29.12.00</w:t>
            </w:r>
          </w:p>
        </w:tc>
        <w:tc>
          <w:tcPr>
            <w:tcW w:w="1720" w:type="dxa"/>
            <w:gridSpan w:val="2"/>
            <w:vMerge w:val="continue"/>
            <w:tcBorders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</w:p>
        </w:tc>
        <w:tc>
          <w:tcPr>
            <w:tcW w:w="1379" w:type="dxa"/>
            <w:vMerge w:val="continue"/>
            <w:tcBorders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张心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pacing w:line="460" w:lineRule="atLeast"/>
              <w:jc w:val="left"/>
              <w:rPr>
                <w:rFonts w:hint="eastAsia" w:cs="Times New Roman" w:asciiTheme="minorEastAsia" w:hAnsiTheme="minorEastAsia" w:eastAsia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遮阳产品流程：合同签订——设计——下料——缝纫——装配——检验——入库。</w:t>
            </w:r>
            <w:bookmarkStart w:id="9" w:name="_GoBack"/>
            <w:bookmarkEnd w:id="9"/>
          </w:p>
          <w:p>
            <w:pPr>
              <w:snapToGrid w:val="0"/>
              <w:spacing w:line="280" w:lineRule="exact"/>
              <w:rPr>
                <w:rFonts w:hint="eastAsia" w:cs="Times New Roman" w:asciiTheme="minorEastAsia" w:hAnsiTheme="minorEastAsia" w:eastAsia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   产品设计为关键过程。</w:t>
            </w:r>
          </w:p>
          <w:p>
            <w:pPr>
              <w:pStyle w:val="2"/>
              <w:rPr>
                <w:rFonts w:hint="eastAsia" w:asciiTheme="minorEastAsia" w:hAnsiTheme="minorEastAsia" w:eastAsia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sz w:val="21"/>
                <w:szCs w:val="21"/>
              </w:rPr>
              <w:t>销售流程：</w:t>
            </w:r>
            <w:r>
              <w:rPr>
                <w:rFonts w:hint="eastAsia" w:ascii="宋体" w:hAnsi="宋体"/>
                <w:sz w:val="21"/>
                <w:szCs w:val="21"/>
              </w:rPr>
              <w:t>联系客户——业务洽谈——合同签订——准备产品—检验--产品销售--客户签收--销售结束。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sz w:val="21"/>
                <w:szCs w:val="21"/>
              </w:rPr>
              <w:t xml:space="preserve"> </w:t>
            </w:r>
          </w:p>
          <w:p>
            <w:pPr>
              <w:pStyle w:val="2"/>
              <w:rPr>
                <w:rFonts w:hint="eastAsia" w:asciiTheme="minorEastAsia" w:hAnsiTheme="minorEastAsia" w:eastAsia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需确认过程：销售过程，也是特殊过程。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pStyle w:val="2"/>
              <w:rPr>
                <w:rFonts w:hint="eastAsia" w:asciiTheme="minorEastAsia" w:hAnsiTheme="minorEastAsia" w:eastAsiaTheme="minorEastAsia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color w:val="000000"/>
                <w:sz w:val="21"/>
                <w:szCs w:val="21"/>
                <w:lang w:eastAsia="zh-CN"/>
              </w:rPr>
              <w:t>生产过程中火灾、机械伤害风险；业务外出时交通意外伤害风险；质量风险：尺寸、版型等不满足要求。</w:t>
            </w:r>
          </w:p>
          <w:p>
            <w:pPr>
              <w:pStyle w:val="2"/>
              <w:rPr>
                <w:rFonts w:hint="eastAsia" w:asciiTheme="minorEastAsia" w:hAnsiTheme="minorEastAsia" w:eastAsiaTheme="minorEastAsia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color w:val="000000"/>
                <w:sz w:val="21"/>
                <w:szCs w:val="21"/>
                <w:lang w:eastAsia="zh-CN"/>
              </w:rPr>
              <w:t>设计和制作过程通过拟定设计规范和作业指导书进行控制。</w:t>
            </w:r>
          </w:p>
          <w:p>
            <w:pPr>
              <w:pStyle w:val="2"/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color w:val="000000"/>
                <w:sz w:val="21"/>
                <w:szCs w:val="21"/>
              </w:rPr>
              <w:t>销售过程采取销售服务规范控制，针对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color w:val="000000"/>
                <w:sz w:val="21"/>
                <w:szCs w:val="21"/>
                <w:lang w:eastAsia="zh-CN"/>
              </w:rPr>
              <w:t>采购、贮存、销售过程中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color w:val="000000"/>
                <w:sz w:val="21"/>
                <w:szCs w:val="21"/>
              </w:rPr>
              <w:t>产生的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color w:val="000000"/>
                <w:sz w:val="21"/>
                <w:szCs w:val="21"/>
                <w:lang w:eastAsia="zh-CN"/>
              </w:rPr>
              <w:t>商品不合格，交货不准时等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color w:val="000000"/>
                <w:sz w:val="21"/>
                <w:szCs w:val="21"/>
              </w:rPr>
              <w:t>风险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color w:val="000000"/>
                <w:sz w:val="21"/>
                <w:szCs w:val="21"/>
              </w:rPr>
              <w:t>通过管理方案和预案进行控制。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sz w:val="21"/>
                <w:szCs w:val="21"/>
              </w:rPr>
              <w:t>重要环境因素：火灾和固废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sz w:val="21"/>
                <w:szCs w:val="21"/>
              </w:rPr>
              <w:t>采取分类收集、管理方案和预案措施管理。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重大危险源：火灾和意外伤害采取制定管理方案控制，潜在火灾采取应急预案并演练方式进行控制。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pacing w:line="460" w:lineRule="atLeast"/>
              <w:jc w:val="left"/>
              <w:rPr>
                <w:rFonts w:hint="eastAsia" w:asciiTheme="minorEastAsia" w:hAnsiTheme="minorEastAsia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JGJ367-2015住宅室内装饰装修设计规范、Q/MJJ004-2012百叶类成品帘 、GB 19817-2005-T 纺织品装饰用织物、FZ/T 72019-2013窗帘用经编面料、GB 19817-2005-T 纺织品装饰用织物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sz w:val="21"/>
                <w:szCs w:val="21"/>
              </w:rPr>
              <w:t xml:space="preserve">等 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sz w:val="21"/>
                <w:szCs w:val="21"/>
                <w:lang w:val="en-US" w:eastAsia="zh-CN"/>
              </w:rPr>
              <w:t>；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sz w:val="21"/>
                <w:szCs w:val="21"/>
              </w:rPr>
              <w:t>合同法、产品质量法、污水排入城镇下水道水质标准（</w:t>
            </w:r>
            <w: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  <w:t>GB/T 31962-2015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sz w:val="21"/>
                <w:szCs w:val="21"/>
              </w:rPr>
              <w:t>）、大气污染物综合排放标准（</w:t>
            </w:r>
            <w: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  <w:t>GB 16297-1996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sz w:val="21"/>
                <w:szCs w:val="21"/>
              </w:rPr>
              <w:t>）</w:t>
            </w:r>
            <w:r>
              <w:rPr>
                <w:rFonts w:hint="eastAsia" w:cs="Arial" w:asciiTheme="minorEastAsia" w:hAnsiTheme="minorEastAsia" w:eastAsiaTheme="minorEastAsia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类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sz w:val="21"/>
                <w:szCs w:val="21"/>
              </w:rPr>
              <w:t xml:space="preserve">等。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检验项目：外观质量、颜色、花色、尺寸等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194310</wp:posOffset>
                  </wp:positionV>
                  <wp:extent cx="757555" cy="419735"/>
                  <wp:effectExtent l="0" t="0" r="4445" b="6985"/>
                  <wp:wrapNone/>
                  <wp:docPr id="5" name="图片 5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t="115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555" cy="419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760095</wp:posOffset>
                  </wp:positionH>
                  <wp:positionV relativeFrom="paragraph">
                    <wp:posOffset>177165</wp:posOffset>
                  </wp:positionV>
                  <wp:extent cx="578485" cy="365125"/>
                  <wp:effectExtent l="0" t="0" r="635" b="635"/>
                  <wp:wrapNone/>
                  <wp:docPr id="1" name="图片 1" descr="C:\Users\24309\Desktop\卢静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24309\Desktop\卢静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485" cy="365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2021.8.18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334010</wp:posOffset>
                  </wp:positionH>
                  <wp:positionV relativeFrom="paragraph">
                    <wp:posOffset>124460</wp:posOffset>
                  </wp:positionV>
                  <wp:extent cx="757555" cy="419735"/>
                  <wp:effectExtent l="0" t="0" r="4445" b="6985"/>
                  <wp:wrapNone/>
                  <wp:docPr id="4" name="图片 4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t="115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555" cy="419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 w:eastAsia="宋体"/>
                <w:b/>
                <w:sz w:val="24"/>
                <w:szCs w:val="24"/>
                <w:lang w:val="en-US" w:eastAsia="zh-CN"/>
              </w:rPr>
              <w:t>2021.8.18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EE56F17"/>
    <w:rsid w:val="10131AB5"/>
    <w:rsid w:val="15920F03"/>
    <w:rsid w:val="2C6B59A9"/>
    <w:rsid w:val="682958DF"/>
    <w:rsid w:val="69E865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0</TotalTime>
  <ScaleCrop>false</ScaleCrop>
  <LinksUpToDate>false</LinksUpToDate>
  <CharactersWithSpaces>296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2021-08-17T01:24:15Z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2052-11.1.0.10700</vt:lpwstr>
  </property>
</Properties>
</file>