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QMS </w:t>
      </w:r>
      <w:bookmarkStart w:id="0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3" w:name="EnM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启迅建设有限公司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EC：28.04.01;28.04.02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E：28.04.01;28.04.02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O：28.04.01;28.04.02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EC：28.04.01;28.04.02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E：28.04.01;28.04.02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O：28.04.01;28.04.02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Lucida Sans"/>
                <w:b w:val="0"/>
                <w:bCs w:val="0"/>
                <w:szCs w:val="22"/>
                <w:highlight w:val="none"/>
                <w:lang w:val="en-US" w:eastAsia="zh-CN"/>
              </w:rPr>
              <w:t>签订合同—项目分析—编制施工组织设计—组织施工—过程检验—分部分项验收—竣工验收—交付及交付后的活动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焊接过程、隐蔽过程，通过风险控制措施、特殊过程确认、作业指导书和培训来控制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潜在火灾、爆炸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高处坠落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物体坍塌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潜在火灾、爆炸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《环焊缝排查归档资料模板》(西南管道公司）《管道环焊缝开挖验证及修复处置施工项目管理手册》(西南管道公司)、《管道环焊缝开挖验证及修复处置施工项目管理手册(A版)》(西南管道公司)、《环焊缝开挖现场要求》(西南管道公司)《电气装置安装工程35千伏及以下架空电力线路施工及验收规范》（GB50173-92)、《电气装置安装工程电缆线路施工及验收规范》（GB50168-92)、《国家电网公司电力安全工作规程》配电部分、《电力建设安全健康与环境管理工作规定》（国家电网工【2003】168号）《电力建设安全施工管理规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项目完工有项目验收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71120</wp:posOffset>
                  </wp:positionV>
                  <wp:extent cx="508635" cy="527050"/>
                  <wp:effectExtent l="0" t="0" r="9525" b="635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  <w:bookmarkStart w:id="8" w:name="_GoBack"/>
            <w:bookmarkEnd w:id="8"/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34925</wp:posOffset>
                  </wp:positionV>
                  <wp:extent cx="506730" cy="525145"/>
                  <wp:effectExtent l="0" t="0" r="11430" b="825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610981"/>
    <w:rsid w:val="4E3A1A60"/>
    <w:rsid w:val="6AA32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2021-08-27T01:48:24Z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