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r>
        <w:rPr>
          <w:rFonts w:hint="eastAsia"/>
          <w:sz w:val="32"/>
          <w:szCs w:val="32"/>
          <w:u w:val="single"/>
          <w:lang w:eastAsia="zh-CN"/>
        </w:rPr>
        <w:t xml:space="preserve">0830-2021-QE </w:t>
      </w:r>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r>
        <w:rPr>
          <w:rFonts w:hint="eastAsia"/>
          <w:sz w:val="28"/>
          <w:szCs w:val="28"/>
          <w:u w:val="single"/>
          <w:lang w:eastAsia="zh-CN"/>
        </w:rPr>
        <w:t>深圳市新艺坊展览策划有限公司</w:t>
      </w:r>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1" w:name="S勾选"/>
      <w:r>
        <w:rPr>
          <w:rFonts w:hint="eastAsia"/>
          <w:sz w:val="28"/>
          <w:szCs w:val="28"/>
        </w:rPr>
        <w:t>□</w:t>
      </w:r>
      <w:bookmarkEnd w:id="1"/>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深圳市新艺坊展览策划有限公司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lang w:eastAsia="zh-CN"/>
              </w:rPr>
            </w:pPr>
            <w:r>
              <w:rPr>
                <w:rFonts w:hint="eastAsia"/>
                <w:lang w:val="en-US" w:eastAsia="zh-CN"/>
              </w:rPr>
              <w:t>深圳市龙岗区龙城街道吉祥社区怡翠路68号东都花园二期1栋B单元703</w:t>
            </w:r>
          </w:p>
        </w:tc>
        <w:tc>
          <w:tcPr>
            <w:tcW w:w="1242" w:type="dxa"/>
            <w:vMerge w:val="restart"/>
            <w:vAlign w:val="center"/>
          </w:tcPr>
          <w:p>
            <w:pPr>
              <w:rPr>
                <w:rFonts w:hint="eastAsia"/>
                <w:lang w:eastAsia="zh-CN"/>
              </w:rPr>
            </w:pPr>
            <w:r>
              <w:rPr>
                <w:rFonts w:hint="eastAsia"/>
                <w:lang w:eastAsia="zh-CN"/>
              </w:rPr>
              <w:t>邮编</w:t>
            </w:r>
          </w:p>
        </w:tc>
        <w:tc>
          <w:tcPr>
            <w:tcW w:w="1771" w:type="dxa"/>
          </w:tcPr>
          <w:p>
            <w:pPr>
              <w:rPr>
                <w:rFonts w:hint="eastAsia"/>
                <w:lang w:eastAsia="zh-CN"/>
              </w:rPr>
            </w:pPr>
            <w:bookmarkStart w:id="2" w:name="注册邮编"/>
            <w:r>
              <w:rPr>
                <w:rFonts w:hint="eastAsia"/>
                <w:lang w:eastAsia="zh-CN"/>
              </w:rPr>
              <w:t>518008</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lang w:eastAsia="zh-CN"/>
              </w:rPr>
            </w:pPr>
            <w:r>
              <w:rPr>
                <w:rFonts w:hint="eastAsia"/>
                <w:lang w:val="en-US" w:eastAsia="zh-CN"/>
              </w:rPr>
              <w:t>四川省成都市双流区海港广场15座23F02号</w:t>
            </w:r>
          </w:p>
        </w:tc>
        <w:tc>
          <w:tcPr>
            <w:tcW w:w="1242" w:type="dxa"/>
            <w:vMerge w:val="continue"/>
            <w:vAlign w:val="center"/>
          </w:tcPr>
          <w:p>
            <w:pPr>
              <w:rPr>
                <w:rFonts w:hint="eastAsia"/>
                <w:lang w:eastAsia="zh-CN"/>
              </w:rPr>
            </w:pPr>
          </w:p>
        </w:tc>
        <w:tc>
          <w:tcPr>
            <w:tcW w:w="1771" w:type="dxa"/>
          </w:tcPr>
          <w:p>
            <w:pPr>
              <w:rPr>
                <w:rFonts w:hint="eastAsia"/>
                <w:lang w:eastAsia="zh-CN"/>
              </w:rPr>
            </w:pPr>
            <w:bookmarkStart w:id="3" w:name="办公邮编"/>
            <w:r>
              <w:rPr>
                <w:rFonts w:hint="eastAsia"/>
                <w:lang w:eastAsia="zh-CN"/>
              </w:rPr>
              <w:t>610000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pPr>
              <w:rPr>
                <w:rFonts w:hint="eastAsia"/>
                <w:lang w:val="en-US" w:eastAsia="zh-CN"/>
              </w:rPr>
            </w:pPr>
            <w:r>
              <w:rPr>
                <w:rFonts w:hint="eastAsia"/>
                <w:lang w:val="en-US" w:eastAsia="zh-CN"/>
              </w:rPr>
              <w:t>张林林</w:t>
            </w:r>
          </w:p>
        </w:tc>
        <w:tc>
          <w:tcPr>
            <w:tcW w:w="1313" w:type="dxa"/>
            <w:vAlign w:val="center"/>
          </w:tcPr>
          <w:p>
            <w:pPr>
              <w:rPr>
                <w:rFonts w:hint="eastAsia"/>
                <w:lang w:val="en-US" w:eastAsia="zh-CN"/>
              </w:rPr>
            </w:pPr>
            <w:r>
              <w:rPr>
                <w:rFonts w:hint="eastAsia"/>
                <w:lang w:val="en-US" w:eastAsia="zh-CN"/>
              </w:rPr>
              <w:t>电话.</w:t>
            </w:r>
          </w:p>
        </w:tc>
        <w:tc>
          <w:tcPr>
            <w:tcW w:w="2180" w:type="dxa"/>
            <w:vAlign w:val="center"/>
          </w:tcPr>
          <w:p>
            <w:pPr>
              <w:rPr>
                <w:rFonts w:hint="eastAsia"/>
                <w:lang w:val="en-US" w:eastAsia="zh-CN"/>
              </w:rPr>
            </w:pPr>
            <w:bookmarkStart w:id="4" w:name="联系人手机"/>
            <w:r>
              <w:rPr>
                <w:rFonts w:hint="eastAsia"/>
                <w:lang w:val="en-US" w:eastAsia="zh-CN"/>
              </w:rPr>
              <w:t>13568846834</w:t>
            </w:r>
            <w:bookmarkEnd w:id="4"/>
          </w:p>
        </w:tc>
        <w:tc>
          <w:tcPr>
            <w:tcW w:w="1242" w:type="dxa"/>
            <w:vAlign w:val="center"/>
          </w:tcPr>
          <w:p>
            <w:r>
              <w:rPr>
                <w:rFonts w:hint="eastAsia"/>
              </w:rPr>
              <w:t>传真</w:t>
            </w:r>
          </w:p>
        </w:tc>
        <w:tc>
          <w:tcPr>
            <w:tcW w:w="1771" w:type="dxa"/>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vAlign w:val="top"/>
          </w:tcPr>
          <w:p>
            <w:pPr>
              <w:rPr>
                <w:rFonts w:hint="eastAsia"/>
                <w:lang w:val="en-US" w:eastAsia="zh-CN"/>
              </w:rPr>
            </w:pPr>
            <w:r>
              <w:rPr>
                <w:rFonts w:hint="eastAsia"/>
                <w:lang w:val="en-US" w:eastAsia="zh-CN"/>
              </w:rPr>
              <w:t>杨建洪</w:t>
            </w:r>
          </w:p>
        </w:tc>
        <w:tc>
          <w:tcPr>
            <w:tcW w:w="1313" w:type="dxa"/>
            <w:vAlign w:val="center"/>
          </w:tcPr>
          <w:p>
            <w:pPr>
              <w:rPr>
                <w:rFonts w:hint="eastAsia"/>
                <w:lang w:val="en-US" w:eastAsia="zh-CN"/>
              </w:rPr>
            </w:pPr>
            <w:r>
              <w:rPr>
                <w:rFonts w:hint="eastAsia"/>
                <w:lang w:val="en-US" w:eastAsia="zh-CN"/>
              </w:rPr>
              <w:t>管理者代表</w:t>
            </w:r>
          </w:p>
        </w:tc>
        <w:tc>
          <w:tcPr>
            <w:tcW w:w="2180" w:type="dxa"/>
          </w:tcPr>
          <w:p>
            <w:pPr>
              <w:rPr>
                <w:rFonts w:hint="eastAsia"/>
                <w:lang w:val="en-US" w:eastAsia="zh-CN"/>
              </w:rPr>
            </w:pPr>
            <w:bookmarkStart w:id="6" w:name="管理者代表"/>
            <w:r>
              <w:rPr>
                <w:rFonts w:hint="eastAsia"/>
                <w:lang w:val="en-US" w:eastAsia="zh-CN"/>
              </w:rPr>
              <w:t>张林林</w:t>
            </w:r>
            <w:bookmarkEnd w:id="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 □双班 □三班  □其他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eastAsia="宋体"/>
                <w:lang w:eastAsia="zh-CN"/>
              </w:rPr>
            </w:pPr>
            <w:r>
              <w:rPr>
                <w:rFonts w:hint="eastAsia" w:cs="Times New Roman"/>
                <w:lang w:eastAsia="zh-CN"/>
              </w:rPr>
              <w:t>项目接洽——项目策划——项目设计——现场指导——布展——交付——后续服务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 xml:space="preserve">审核日期 </w:t>
            </w:r>
          </w:p>
        </w:tc>
        <w:tc>
          <w:tcPr>
            <w:tcW w:w="7831" w:type="dxa"/>
            <w:gridSpan w:val="3"/>
            <w:tcMar>
              <w:left w:w="113" w:type="dxa"/>
            </w:tcMar>
          </w:tcPr>
          <w:p>
            <w:bookmarkStart w:id="7" w:name="审核日期"/>
            <w:r>
              <w:rPr>
                <w:rFonts w:hint="eastAsia"/>
              </w:rPr>
              <w:t>2021年08月1</w:t>
            </w:r>
            <w:r>
              <w:rPr>
                <w:rFonts w:hint="eastAsia"/>
                <w:lang w:val="en-US" w:eastAsia="zh-CN"/>
              </w:rPr>
              <w:t>8</w:t>
            </w:r>
            <w:r>
              <w:rPr>
                <w:rFonts w:hint="eastAsia"/>
              </w:rPr>
              <w:t>日 上午至2021年08月</w:t>
            </w:r>
            <w:r>
              <w:rPr>
                <w:rFonts w:hint="eastAsia"/>
                <w:lang w:val="en-US" w:eastAsia="zh-CN"/>
              </w:rPr>
              <w:t>20</w:t>
            </w:r>
            <w:r>
              <w:rPr>
                <w:rFonts w:hint="eastAsia"/>
              </w:rPr>
              <w:t xml:space="preserve">日 </w:t>
            </w:r>
            <w:bookmarkEnd w:id="7"/>
            <w:r>
              <w:rPr>
                <w:rFonts w:hint="eastAsia"/>
                <w:lang w:val="en-US" w:eastAsia="zh-CN"/>
              </w:rPr>
              <w:t>下午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r>
              <w:rPr>
                <w:rFonts w:hint="eastAsia"/>
              </w:rPr>
              <w:sym w:font="Wingdings 2" w:char="00A3"/>
            </w:r>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初审"/>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r>
              <w:rPr>
                <w:rFonts w:hint="eastAsia"/>
              </w:rPr>
              <w:t xml:space="preserve">    </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ascii="宋体" w:hAnsi="宋体" w:cs="宋体"/>
                <w:color w:val="000000"/>
                <w:kern w:val="0"/>
              </w:rPr>
              <w:t>□</w:t>
            </w:r>
            <w:r>
              <w:rPr>
                <w:rFonts w:hint="eastAsia"/>
              </w:rPr>
              <w:t xml:space="preserve">单一体系审核    □结合审核   </w:t>
            </w:r>
            <w:r>
              <w:rPr>
                <w:rFonts w:hint="eastAsia"/>
                <w:lang w:val="de-DE"/>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r>
              <w:rPr>
                <w:rFonts w:hint="eastAsia" w:ascii="宋体" w:hAnsi="宋体" w:cs="宋体"/>
                <w:color w:val="000000"/>
                <w:kern w:val="0"/>
              </w:rPr>
              <w:t>□</w:t>
            </w:r>
            <w:r>
              <w:rPr>
                <w:rFonts w:hint="eastAsia"/>
              </w:rPr>
              <w:t xml:space="preserve">初审二阶段  </w:t>
            </w:r>
            <w:bookmarkStart w:id="14" w:name="监督勾选Add1"/>
            <w:r>
              <w:rPr>
                <w:rFonts w:hint="eastAsia"/>
              </w:rPr>
              <w:t>□</w:t>
            </w:r>
            <w:bookmarkEnd w:id="14"/>
            <w:r>
              <w:rPr>
                <w:rFonts w:hint="eastAsia"/>
              </w:rPr>
              <w:t xml:space="preserve">监督 第 </w:t>
            </w:r>
            <w:bookmarkStart w:id="15" w:name="监督次数"/>
            <w:bookmarkEnd w:id="15"/>
            <w:r>
              <w:rPr>
                <w:rFonts w:hint="eastAsia"/>
              </w:rPr>
              <w:t xml:space="preserve"> 次监督审核  </w:t>
            </w:r>
            <w:r>
              <w:rPr>
                <w:rFonts w:hint="eastAsia"/>
                <w:lang w:val="de-DE"/>
              </w:rPr>
              <w:t>■</w:t>
            </w:r>
            <w:r>
              <w:rPr>
                <w:rFonts w:hint="eastAsia"/>
              </w:rPr>
              <w:t xml:space="preserve">再认证 </w:t>
            </w:r>
            <w:bookmarkStart w:id="16" w:name="扩项勾选Add1"/>
            <w:r>
              <w:rPr>
                <w:rFonts w:hint="eastAsia"/>
              </w:rPr>
              <w:t>□</w:t>
            </w:r>
            <w:bookmarkEnd w:id="1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tc>
        <w:tc>
          <w:tcPr>
            <w:tcW w:w="4616" w:type="dxa"/>
            <w:gridSpan w:val="2"/>
            <w:vMerge w:val="restart"/>
            <w:vAlign w:val="center"/>
          </w:tcPr>
          <w:p>
            <w:pPr>
              <w:widowControl/>
              <w:jc w:val="left"/>
              <w:rPr>
                <w:rFonts w:ascii="宋体" w:hAnsi="宋体" w:cs="宋体"/>
                <w:color w:val="000000"/>
                <w:kern w:val="0"/>
                <w:szCs w:val="21"/>
              </w:rPr>
            </w:pPr>
            <w:bookmarkStart w:id="17" w:name="审核范围"/>
            <w:r>
              <w:rPr>
                <w:rFonts w:ascii="宋体" w:hAnsi="宋体" w:cs="宋体"/>
                <w:color w:val="000000"/>
                <w:kern w:val="0"/>
                <w:szCs w:val="21"/>
              </w:rPr>
              <w:t>Q：展览展示策划及相关服务</w:t>
            </w:r>
          </w:p>
          <w:p>
            <w:pPr>
              <w:rPr>
                <w:rFonts w:hint="eastAsia"/>
              </w:rPr>
            </w:pPr>
            <w:r>
              <w:rPr>
                <w:rFonts w:ascii="宋体" w:hAnsi="宋体" w:cs="宋体"/>
                <w:color w:val="000000"/>
                <w:kern w:val="0"/>
                <w:szCs w:val="21"/>
              </w:rPr>
              <w:t>E：展览展示策划及相关服务所涉及场所的相关环境管理活动</w:t>
            </w:r>
            <w:bookmarkEnd w:id="1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pPr>
              <w:widowControl/>
              <w:jc w:val="left"/>
              <w:rPr>
                <w:rFonts w:hint="eastAsia" w:ascii="宋体" w:hAnsi="宋体" w:cs="宋体"/>
                <w:color w:val="000000"/>
                <w:kern w:val="0"/>
                <w:szCs w:val="24"/>
              </w:rPr>
            </w:pPr>
            <w:bookmarkStart w:id="18" w:name="专业代码"/>
            <w:r>
              <w:rPr>
                <w:rFonts w:hint="eastAsia" w:ascii="宋体" w:hAnsi="宋体" w:cs="宋体"/>
                <w:color w:val="000000"/>
                <w:kern w:val="0"/>
                <w:szCs w:val="24"/>
              </w:rPr>
              <w:t>Q：35.20.00</w:t>
            </w:r>
          </w:p>
          <w:p>
            <w:r>
              <w:rPr>
                <w:rFonts w:hint="eastAsia" w:ascii="宋体" w:hAnsi="宋体" w:cs="宋体"/>
                <w:color w:val="000000"/>
                <w:kern w:val="0"/>
                <w:szCs w:val="24"/>
              </w:rPr>
              <w:t>E：35.20.00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pPr>
              <w:rPr>
                <w:rFonts w:hint="eastAsia"/>
              </w:rPr>
            </w:pPr>
            <w:r>
              <w:rPr>
                <w:rFonts w:hint="eastAsia"/>
              </w:rPr>
              <w:t>体系文件实施时间</w:t>
            </w:r>
          </w:p>
        </w:tc>
        <w:tc>
          <w:tcPr>
            <w:tcW w:w="2733" w:type="dxa"/>
          </w:tcPr>
          <w:p>
            <w:pPr>
              <w:rPr>
                <w:rFonts w:hint="eastAsia"/>
                <w:lang w:val="en-US" w:eastAsia="zh-CN"/>
              </w:rPr>
            </w:pPr>
            <w:r>
              <w:rPr>
                <w:rFonts w:hint="eastAsia"/>
                <w:lang w:val="en-US" w:eastAsia="zh-CN"/>
              </w:rPr>
              <w:t xml:space="preserve"> </w:t>
            </w:r>
            <w:r>
              <w:rPr>
                <w:rFonts w:hint="eastAsia"/>
                <w:lang w:eastAsia="zh-CN"/>
              </w:rPr>
              <w:t>2019年1月8日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pPr>
              <w:rPr>
                <w:rFonts w:hint="eastAsia"/>
                <w:lang w:val="en-US" w:eastAsia="zh-CN"/>
              </w:rPr>
            </w:pPr>
            <w:r>
              <w:rPr>
                <w:rFonts w:hint="eastAsia"/>
                <w:lang w:val="en-US" w:eastAsia="zh-CN"/>
              </w:rPr>
              <w:t xml:space="preserve">  2020年09月30日 </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2021年08月27日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852"/>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062" w:type="dxa"/>
            <w:shd w:val="clear" w:color="auto" w:fill="F3F3F3"/>
            <w:tcMar>
              <w:left w:w="57" w:type="dxa"/>
              <w:right w:w="57" w:type="dxa"/>
            </w:tcMar>
          </w:tcPr>
          <w:p>
            <w:r>
              <w:rPr>
                <w:rFonts w:hint="eastAsia"/>
              </w:rPr>
              <w:t>场所编号</w:t>
            </w:r>
          </w:p>
          <w:p>
            <w:r>
              <w:rPr>
                <w:rFonts w:hint="eastAsia"/>
              </w:rPr>
              <w:t>(分证书序号）</w:t>
            </w:r>
          </w:p>
        </w:tc>
        <w:tc>
          <w:tcPr>
            <w:tcW w:w="1852"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62" w:type="dxa"/>
            <w:vAlign w:val="center"/>
          </w:tcPr>
          <w:p>
            <w:pPr>
              <w:rPr>
                <w:lang w:eastAsia="ja-JP"/>
              </w:rPr>
            </w:pPr>
            <w:r>
              <w:rPr>
                <w:rFonts w:hint="eastAsia"/>
                <w:lang w:eastAsia="ja-JP"/>
              </w:rPr>
              <w:t>01</w:t>
            </w:r>
          </w:p>
        </w:tc>
        <w:tc>
          <w:tcPr>
            <w:tcW w:w="1852"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2" w:type="dxa"/>
            <w:vAlign w:val="center"/>
          </w:tcPr>
          <w:p>
            <w:pPr>
              <w:rPr>
                <w:lang w:eastAsia="ja-JP"/>
              </w:rPr>
            </w:pPr>
            <w:r>
              <w:rPr>
                <w:rFonts w:hint="eastAsia"/>
                <w:lang w:eastAsia="ja-JP"/>
              </w:rPr>
              <w:t>02</w:t>
            </w:r>
          </w:p>
        </w:tc>
        <w:tc>
          <w:tcPr>
            <w:tcW w:w="1852"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2" w:type="dxa"/>
            <w:vAlign w:val="center"/>
          </w:tcPr>
          <w:p>
            <w:pPr>
              <w:rPr>
                <w:lang w:eastAsia="ja-JP"/>
              </w:rPr>
            </w:pPr>
            <w:r>
              <w:rPr>
                <w:rFonts w:hint="eastAsia"/>
                <w:lang w:eastAsia="ja-JP"/>
              </w:rPr>
              <w:t>03</w:t>
            </w:r>
          </w:p>
        </w:tc>
        <w:tc>
          <w:tcPr>
            <w:tcW w:w="1852"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2" w:type="dxa"/>
            <w:vAlign w:val="center"/>
          </w:tcPr>
          <w:p>
            <w:pPr>
              <w:rPr>
                <w:lang w:eastAsia="ja-JP"/>
              </w:rPr>
            </w:pPr>
            <w:r>
              <w:rPr>
                <w:rFonts w:hint="eastAsia"/>
                <w:lang w:eastAsia="ja-JP"/>
              </w:rPr>
              <w:t>04</w:t>
            </w:r>
          </w:p>
        </w:tc>
        <w:tc>
          <w:tcPr>
            <w:tcW w:w="1852"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2" w:type="dxa"/>
            <w:vAlign w:val="center"/>
          </w:tcPr>
          <w:p>
            <w:pPr>
              <w:rPr>
                <w:lang w:eastAsia="ja-JP"/>
              </w:rPr>
            </w:pPr>
            <w:r>
              <w:rPr>
                <w:rFonts w:hint="eastAsia"/>
                <w:lang w:eastAsia="ja-JP"/>
              </w:rPr>
              <w:t>05</w:t>
            </w:r>
          </w:p>
        </w:tc>
        <w:tc>
          <w:tcPr>
            <w:tcW w:w="1852"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p>
            <w:pPr>
              <w:pStyle w:val="12"/>
            </w:pP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rPr>
                <w:rFonts w:hint="eastAsia"/>
              </w:rPr>
            </w:pPr>
            <w:r>
              <w:rPr>
                <w:rFonts w:hint="eastAsia"/>
              </w:rPr>
              <w:t>□未完成审核计划</w:t>
            </w:r>
          </w:p>
          <w:p>
            <w:pPr>
              <w:pStyle w:val="12"/>
              <w:rPr>
                <w:rFonts w:hint="eastAsia"/>
              </w:rPr>
            </w:pPr>
          </w:p>
          <w:p>
            <w:pPr>
              <w:pStyle w:val="12"/>
              <w:rPr>
                <w:rFonts w:hint="eastAsia"/>
              </w:rPr>
            </w:pP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Cs w:val="21"/>
              </w:rPr>
              <w:t>任亚辉</w:t>
            </w:r>
          </w:p>
        </w:tc>
        <w:tc>
          <w:tcPr>
            <w:tcW w:w="1089" w:type="dxa"/>
            <w:vAlign w:val="center"/>
          </w:tcPr>
          <w:p>
            <w:r>
              <w:t>组员</w:t>
            </w:r>
          </w:p>
        </w:tc>
        <w:tc>
          <w:tcPr>
            <w:tcW w:w="711" w:type="dxa"/>
            <w:vAlign w:val="center"/>
          </w:tcPr>
          <w:p>
            <w:r>
              <w:t>男</w:t>
            </w:r>
          </w:p>
        </w:tc>
        <w:tc>
          <w:tcPr>
            <w:tcW w:w="3870"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Cs w:val="21"/>
              </w:rPr>
              <w:t>2020-N0QMS-1265975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Cs w:val="21"/>
              </w:rPr>
              <w:t>秦强</w:t>
            </w:r>
          </w:p>
        </w:tc>
        <w:tc>
          <w:tcPr>
            <w:tcW w:w="1089" w:type="dxa"/>
            <w:vAlign w:val="center"/>
          </w:tcPr>
          <w:p>
            <w:r>
              <w:t>组员</w:t>
            </w:r>
          </w:p>
        </w:tc>
        <w:tc>
          <w:tcPr>
            <w:tcW w:w="711" w:type="dxa"/>
            <w:vAlign w:val="center"/>
          </w:tcPr>
          <w:p>
            <w:r>
              <w:t>男</w:t>
            </w:r>
          </w:p>
        </w:tc>
        <w:tc>
          <w:tcPr>
            <w:tcW w:w="3870"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专家</w:t>
            </w:r>
          </w:p>
        </w:tc>
        <w:tc>
          <w:tcPr>
            <w:tcW w:w="2179" w:type="dxa"/>
            <w:vAlign w:val="center"/>
          </w:tcPr>
          <w:p>
            <w:pPr>
              <w:widowControl/>
              <w:jc w:val="both"/>
              <w:rPr>
                <w:rFonts w:ascii="宋体" w:hAnsi="宋体" w:cs="宋体"/>
                <w:color w:val="000000"/>
                <w:kern w:val="0"/>
                <w:szCs w:val="21"/>
              </w:rPr>
            </w:pPr>
            <w:r>
              <w:rPr>
                <w:rFonts w:ascii="宋体" w:hAnsi="宋体" w:cs="宋体"/>
                <w:color w:val="000000"/>
                <w:kern w:val="0"/>
                <w:szCs w:val="21"/>
              </w:rPr>
              <w:t>Q:35.20.00</w:t>
            </w:r>
          </w:p>
          <w:p>
            <w:r>
              <w:rPr>
                <w:rFonts w:ascii="宋体" w:hAnsi="宋体" w:cs="宋体"/>
                <w:color w:val="000000"/>
                <w:kern w:val="0"/>
                <w:szCs w:val="21"/>
              </w:rPr>
              <w:t>E:35.20.00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rPr>
            </w:pPr>
            <w:r>
              <w:rPr>
                <w:rFonts w:hint="eastAsia"/>
                <w:lang w:val="en-US" w:eastAsia="zh-CN"/>
              </w:rPr>
              <w:t>深圳市龙岗区龙城街道吉祥社区怡翠路68号东都花园二期1栋B单元703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rPr>
            </w:pPr>
            <w:r>
              <w:rPr>
                <w:rFonts w:hint="eastAsia"/>
                <w:lang w:val="en-US" w:eastAsia="zh-CN"/>
              </w:rPr>
              <w:t>四川省成都市双流区海港广场15座23F02号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 xml:space="preserve">QMS □EcMS </w:t>
      </w:r>
      <w:r>
        <w:rPr>
          <w:rFonts w:hint="eastAsia"/>
        </w:rPr>
        <w:sym w:font="Wingdings 2" w:char="0052"/>
      </w:r>
      <w:r>
        <w:rPr>
          <w:rFonts w:hint="eastAsia"/>
        </w:rPr>
        <w:t>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pPr>
        <w:ind w:firstLine="420" w:firstLineChars="200"/>
      </w:pPr>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ind w:firstLine="420" w:firstLineChars="200"/>
      </w:pPr>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9" w:name="Q勾选Add2"/>
            <w:r>
              <w:rPr>
                <w:rFonts w:hint="eastAsia"/>
              </w:rPr>
              <w:t>■</w:t>
            </w:r>
            <w:bookmarkEnd w:id="1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S勾选Add2"/>
            <w:r>
              <w:rPr>
                <w:rFonts w:hint="eastAsia"/>
              </w:rPr>
              <w:t>□</w:t>
            </w:r>
            <w:bookmarkEnd w:id="2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QMS</w:t>
            </w:r>
          </w:p>
          <w:p>
            <w:pPr>
              <w:rPr>
                <w:rFonts w:hint="eastAsia" w:ascii="Times New Roman" w:hAnsi="Times New Roman" w:eastAsia="宋体" w:cs="Times New Roman"/>
              </w:rPr>
            </w:pPr>
          </w:p>
        </w:tc>
        <w:tc>
          <w:tcPr>
            <w:tcW w:w="7380" w:type="dxa"/>
            <w:shd w:val="clear" w:color="auto" w:fill="auto"/>
          </w:tcPr>
          <w:p>
            <w:pPr>
              <w:widowControl/>
              <w:jc w:val="left"/>
              <w:rPr>
                <w:rFonts w:ascii="宋体" w:hAnsi="宋体" w:cs="宋体"/>
                <w:color w:val="000000"/>
                <w:kern w:val="0"/>
                <w:szCs w:val="21"/>
              </w:rPr>
            </w:pPr>
            <w:r>
              <w:rPr>
                <w:rFonts w:ascii="宋体" w:hAnsi="宋体" w:cs="宋体"/>
                <w:color w:val="000000"/>
                <w:kern w:val="0"/>
                <w:szCs w:val="21"/>
              </w:rPr>
              <w:t>展览展示策划及相关服务</w:t>
            </w:r>
          </w:p>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ascii="宋体" w:hAnsi="宋体" w:cs="宋体"/>
                <w:color w:val="000000"/>
                <w:kern w:val="0"/>
                <w:szCs w:val="21"/>
              </w:rPr>
              <w:t>展览展示策划及相关服务所涉及场所的相关环境管理活动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A3"/>
            </w:r>
            <w:r>
              <w:rPr>
                <w:rFonts w:hint="eastAsia"/>
              </w:rPr>
              <w:t xml:space="preserve">初审 </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 □有发生，说明：</w:t>
            </w:r>
            <w:r>
              <w:rPr>
                <w:rFonts w:hint="eastAsia" w:ascii="宋体"/>
                <w:b/>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 □有发生，说明：</w:t>
            </w:r>
            <w:r>
              <w:rPr>
                <w:rFonts w:hint="eastAsia" w:ascii="宋体"/>
                <w:b/>
                <w:color w:val="auto"/>
                <w:szCs w:val="21"/>
                <w:u w:val="single"/>
              </w:rPr>
              <w:t xml:space="preserve">                                     </w:t>
            </w:r>
          </w:p>
        </w:tc>
      </w:tr>
    </w:tbl>
    <w:tbl>
      <w:tblPr>
        <w:tblStyle w:val="8"/>
        <w:tblW w:w="10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5"/>
        <w:gridCol w:w="2764"/>
        <w:gridCol w:w="2764"/>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15" w:type="dxa"/>
            <w:vAlign w:val="center"/>
          </w:tcPr>
          <w:p>
            <w:pPr>
              <w:rPr>
                <w:rFonts w:ascii="宋体"/>
                <w:b/>
                <w:color w:val="auto"/>
                <w:szCs w:val="21"/>
              </w:rPr>
            </w:pPr>
            <w:r>
              <w:rPr>
                <w:rFonts w:hint="eastAsia" w:ascii="宋体"/>
                <w:b/>
                <w:color w:val="auto"/>
                <w:szCs w:val="21"/>
              </w:rPr>
              <w:t>突发事件的处置措施</w:t>
            </w:r>
          </w:p>
        </w:tc>
        <w:tc>
          <w:tcPr>
            <w:tcW w:w="8493" w:type="dxa"/>
            <w:gridSpan w:val="3"/>
            <w:tcMar>
              <w:left w:w="113" w:type="dxa"/>
            </w:tcMar>
            <w:vAlign w:val="center"/>
          </w:tcPr>
          <w:p>
            <w:pPr>
              <w:rPr>
                <w:rFonts w:ascii="宋体"/>
                <w:b/>
                <w:color w:val="auto"/>
                <w:szCs w:val="21"/>
              </w:rPr>
            </w:pPr>
            <w:r>
              <w:rPr>
                <w:rFonts w:hint="eastAsia" w:ascii="宋体"/>
                <w:b/>
                <w:color w:val="auto"/>
                <w:szCs w:val="21"/>
              </w:rPr>
              <w:t xml:space="preserve">□中止审核  □终止审核  </w:t>
            </w:r>
            <w:r>
              <w:rPr>
                <w:rFonts w:hint="eastAsia" w:ascii="宋体"/>
                <w:b/>
                <w:color w:val="auto"/>
                <w:szCs w:val="21"/>
                <w:lang w:eastAsia="zh-CN"/>
              </w:rPr>
              <w:t>□</w:t>
            </w:r>
            <w:r>
              <w:rPr>
                <w:rFonts w:hint="eastAsia" w:ascii="宋体"/>
                <w:b/>
                <w:color w:val="auto"/>
                <w:szCs w:val="21"/>
              </w:rPr>
              <w:t>延迟审核  □改为现场审核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15" w:type="dxa"/>
            <w:vMerge w:val="restart"/>
            <w:vAlign w:val="center"/>
          </w:tcPr>
          <w:p>
            <w:pPr>
              <w:rPr>
                <w:rFonts w:ascii="宋体"/>
                <w:b/>
                <w:color w:val="auto"/>
                <w:szCs w:val="21"/>
              </w:rPr>
            </w:pPr>
            <w:r>
              <w:rPr>
                <w:rFonts w:hint="eastAsia"/>
                <w:b/>
                <w:bCs/>
                <w:color w:val="auto"/>
              </w:rPr>
              <w:t>远程审核的有效性评价（适用时）</w:t>
            </w:r>
          </w:p>
        </w:tc>
        <w:tc>
          <w:tcPr>
            <w:tcW w:w="8493" w:type="dxa"/>
            <w:gridSpan w:val="3"/>
            <w:tcMar>
              <w:left w:w="113" w:type="dxa"/>
            </w:tcMar>
          </w:tcPr>
          <w:p>
            <w:pPr>
              <w:spacing w:line="280" w:lineRule="exact"/>
              <w:rPr>
                <w:color w:val="auto"/>
              </w:rPr>
            </w:pPr>
            <w:r>
              <w:rPr>
                <w:rFonts w:hint="eastAsia" w:ascii="宋体" w:hAnsi="宋体"/>
                <w:b/>
                <w:color w:val="auto"/>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exact"/>
          <w:jc w:val="center"/>
        </w:trPr>
        <w:tc>
          <w:tcPr>
            <w:tcW w:w="1615" w:type="dxa"/>
            <w:vMerge w:val="continue"/>
            <w:vAlign w:val="center"/>
          </w:tcPr>
          <w:p>
            <w:pPr>
              <w:rPr>
                <w:rFonts w:ascii="宋体"/>
                <w:b/>
                <w:color w:val="auto"/>
                <w:szCs w:val="21"/>
              </w:rPr>
            </w:pPr>
          </w:p>
        </w:tc>
        <w:tc>
          <w:tcPr>
            <w:tcW w:w="8493" w:type="dxa"/>
            <w:gridSpan w:val="3"/>
            <w:tcMar>
              <w:left w:w="113" w:type="dxa"/>
            </w:tcMar>
          </w:tcPr>
          <w:p>
            <w:pPr>
              <w:spacing w:line="280" w:lineRule="exact"/>
              <w:rPr>
                <w:color w:val="auto"/>
              </w:rPr>
            </w:pPr>
            <w:r>
              <w:rPr>
                <w:rFonts w:hint="eastAsia" w:ascii="宋体" w:hAnsi="宋体"/>
                <w:b/>
                <w:color w:val="auto"/>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8" w:hRule="exact"/>
          <w:jc w:val="center"/>
        </w:trPr>
        <w:tc>
          <w:tcPr>
            <w:tcW w:w="1615"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965" w:type="dxa"/>
            <w:tcMar>
              <w:left w:w="113" w:type="dxa"/>
            </w:tcMar>
            <w:vAlign w:val="center"/>
          </w:tcPr>
          <w:p>
            <w:pPr>
              <w:rPr>
                <w:rFonts w:ascii="宋体"/>
                <w:b/>
                <w:color w:val="0000FF"/>
                <w:szCs w:val="21"/>
              </w:rPr>
            </w:pP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人员能力 □检测水平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jc w:val="left"/>
              <w:rPr>
                <w:rFonts w:hint="eastAsia" w:ascii="Times New Roman" w:hAnsi="Times New Roman" w:eastAsia="宋体" w:cs="Times New Roman"/>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rPr>
              <w:t xml:space="preserve">诚实守信，客户至上；真诚合作，实现双赢                 </w:t>
            </w:r>
            <w:r>
              <w:rPr>
                <w:rFonts w:hint="eastAsia" w:ascii="Times New Roman" w:hAnsi="Times New Roman" w:eastAsia="宋体" w:cs="Times New Roman"/>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1、由工程部人员每个月对收集信息进行评价并整理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展览展示策划及时率100%</w:t>
                  </w:r>
                </w:p>
              </w:tc>
              <w:tc>
                <w:tcPr>
                  <w:tcW w:w="3136" w:type="dxa"/>
                  <w:shd w:val="clear" w:color="auto" w:fill="auto"/>
                  <w:vAlign w:val="center"/>
                </w:tcPr>
                <w:p>
                  <w:pPr>
                    <w:shd w:val="clear" w:color="auto" w:fill="C7DAF1" w:themeFill="text2" w:themeFillTint="32"/>
                    <w:rPr>
                      <w:rFonts w:hint="eastAsia"/>
                      <w:lang w:val="en-GB" w:eastAsia="zh-CN"/>
                    </w:rPr>
                  </w:pPr>
                  <w:r>
                    <w:rPr>
                      <w:rFonts w:hint="eastAsia"/>
                      <w:lang w:val="en-US" w:eastAsia="zh-CN"/>
                    </w:rPr>
                    <w:t>实际再建数/展览展示策划项目总数×100%</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策划部</w:t>
                  </w:r>
                </w:p>
              </w:tc>
              <w:tc>
                <w:tcPr>
                  <w:tcW w:w="1774" w:type="dxa"/>
                  <w:shd w:val="clear" w:color="auto" w:fill="auto"/>
                  <w:vAlign w:val="top"/>
                </w:tcPr>
                <w:p>
                  <w:pPr>
                    <w:shd w:val="clear" w:color="auto" w:fill="C7DAF1" w:themeFill="text2" w:themeFillTint="32"/>
                    <w:rPr>
                      <w:rFonts w:hint="default"/>
                      <w:lang w:val="en-GB" w:eastAsia="zh-CN"/>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展览展示策划合格率100%</w:t>
                  </w:r>
                </w:p>
              </w:tc>
              <w:tc>
                <w:tcPr>
                  <w:tcW w:w="3136"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展览展示策划合格数/展览展示策划项目总数×100%</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策划部</w:t>
                  </w:r>
                </w:p>
              </w:tc>
              <w:tc>
                <w:tcPr>
                  <w:tcW w:w="1774" w:type="dxa"/>
                  <w:shd w:val="clear" w:color="auto" w:fill="auto"/>
                  <w:vAlign w:val="top"/>
                </w:tcPr>
                <w:p>
                  <w:pPr>
                    <w:shd w:val="clear" w:color="auto" w:fill="C7DAF1" w:themeFill="text2" w:themeFillTint="32"/>
                    <w:rPr>
                      <w:rFonts w:hint="default"/>
                      <w:lang w:val="en-US" w:eastAsia="zh-CN"/>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lang w:val="en-US" w:eastAsia="zh-CN"/>
                    </w:rPr>
                  </w:pPr>
                  <w:r>
                    <w:rPr>
                      <w:rFonts w:hint="eastAsia"/>
                    </w:rPr>
                    <w:t>顾客满意度≥9</w:t>
                  </w:r>
                  <w:r>
                    <w:rPr>
                      <w:rFonts w:hint="eastAsia"/>
                      <w:lang w:val="en-US" w:eastAsia="zh-CN"/>
                    </w:rPr>
                    <w:t>5</w:t>
                  </w:r>
                  <w:r>
                    <w:rPr>
                      <w:rFonts w:hint="eastAsia"/>
                    </w:rPr>
                    <w:t>分</w:t>
                  </w:r>
                </w:p>
              </w:tc>
              <w:tc>
                <w:tcPr>
                  <w:tcW w:w="3136"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顾客满意数/顾客总数×100%</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市场部</w:t>
                  </w:r>
                </w:p>
              </w:tc>
              <w:tc>
                <w:tcPr>
                  <w:tcW w:w="1774" w:type="dxa"/>
                  <w:shd w:val="clear" w:color="auto" w:fill="auto"/>
                  <w:vAlign w:val="top"/>
                </w:tcPr>
                <w:p>
                  <w:pPr>
                    <w:shd w:val="clear" w:color="auto" w:fill="C7DAF1" w:themeFill="text2" w:themeFillTint="32"/>
                    <w:rPr>
                      <w:rFonts w:hint="default"/>
                      <w:lang w:val="en-US" w:eastAsia="zh-CN"/>
                    </w:rPr>
                  </w:pPr>
                  <w:r>
                    <w:rPr>
                      <w:rFonts w:hint="eastAsia"/>
                    </w:rPr>
                    <w:t>9</w:t>
                  </w:r>
                  <w:r>
                    <w:rPr>
                      <w:rFonts w:hint="eastAsia"/>
                      <w:lang w:val="en-US" w:eastAsia="zh-CN"/>
                    </w:rPr>
                    <w:t>8</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lang w:val="en-US" w:eastAsia="zh-CN"/>
                    </w:rPr>
                  </w:pPr>
                </w:p>
              </w:tc>
              <w:tc>
                <w:tcPr>
                  <w:tcW w:w="3136" w:type="dxa"/>
                  <w:shd w:val="clear" w:color="auto" w:fill="auto"/>
                  <w:vAlign w:val="center"/>
                </w:tcPr>
                <w:p>
                  <w:pPr>
                    <w:shd w:val="clear" w:color="auto" w:fill="C7DAF1" w:themeFill="text2" w:themeFillTint="32"/>
                    <w:rPr>
                      <w:rFonts w:hint="default"/>
                      <w:lang w:val="en-US" w:eastAsia="zh-CN"/>
                    </w:rPr>
                  </w:pPr>
                </w:p>
              </w:tc>
              <w:tc>
                <w:tcPr>
                  <w:tcW w:w="1350" w:type="dxa"/>
                  <w:shd w:val="clear" w:color="auto" w:fill="auto"/>
                  <w:vAlign w:val="center"/>
                </w:tcPr>
                <w:p>
                  <w:pPr>
                    <w:shd w:val="clear" w:color="auto" w:fill="C7DAF1" w:themeFill="text2" w:themeFillTint="32"/>
                    <w:rPr>
                      <w:rFonts w:hint="default" w:eastAsia="宋体"/>
                      <w:lang w:val="en-US" w:eastAsia="zh-CN"/>
                    </w:rPr>
                  </w:pPr>
                </w:p>
              </w:tc>
              <w:tc>
                <w:tcPr>
                  <w:tcW w:w="1774" w:type="dxa"/>
                  <w:shd w:val="clear" w:color="auto" w:fill="auto"/>
                  <w:vAlign w:val="top"/>
                </w:tcPr>
                <w:p>
                  <w:pPr>
                    <w:shd w:val="clear" w:color="auto" w:fill="C7DAF1" w:themeFill="text2" w:themeFillTint="3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rPr>
                  </w:pPr>
                </w:p>
              </w:tc>
              <w:tc>
                <w:tcPr>
                  <w:tcW w:w="3136" w:type="dxa"/>
                  <w:shd w:val="clear" w:color="auto" w:fill="auto"/>
                  <w:vAlign w:val="center"/>
                </w:tcPr>
                <w:p>
                  <w:pPr>
                    <w:shd w:val="clear" w:color="auto" w:fill="C7DAF1" w:themeFill="text2" w:themeFillTint="32"/>
                    <w:rPr>
                      <w:rFonts w:hint="eastAsia"/>
                    </w:rPr>
                  </w:pPr>
                </w:p>
              </w:tc>
              <w:tc>
                <w:tcPr>
                  <w:tcW w:w="1350" w:type="dxa"/>
                  <w:shd w:val="clear" w:color="auto" w:fill="auto"/>
                  <w:vAlign w:val="center"/>
                </w:tcPr>
                <w:p>
                  <w:pPr>
                    <w:shd w:val="clear" w:color="auto" w:fill="C7DAF1" w:themeFill="text2" w:themeFillTint="32"/>
                    <w:rPr>
                      <w:rFonts w:hint="default" w:eastAsia="宋体"/>
                      <w:lang w:val="en-US" w:eastAsia="zh-CN"/>
                    </w:rPr>
                  </w:pPr>
                </w:p>
              </w:tc>
              <w:tc>
                <w:tcPr>
                  <w:tcW w:w="1774" w:type="dxa"/>
                  <w:shd w:val="clear" w:color="auto" w:fill="auto"/>
                  <w:vAlign w:val="center"/>
                </w:tcPr>
                <w:p>
                  <w:pPr>
                    <w:shd w:val="clear" w:color="auto" w:fill="C7DAF1" w:themeFill="text2"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783.55</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Times New Roman" w:hAnsi="Times New Roman" w:eastAsia="宋体" w:cs="Times New Roman"/>
                <w:u w:val="single"/>
              </w:rPr>
              <w:t xml:space="preserve"> 电脑、显示器、电话、传真、网络、办公桌等办公设备）</w:t>
            </w:r>
          </w:p>
          <w:p>
            <w:pPr>
              <w:shd w:val="clear" w:color="auto" w:fill="C7DAF1" w:themeFill="text2" w:themeFillTint="32"/>
            </w:pPr>
            <w:r>
              <w:rPr>
                <w:rFonts w:hint="eastAsia"/>
              </w:rPr>
              <w:t>特种设备：</w:t>
            </w:r>
            <w:r>
              <w:rPr>
                <w:rFonts w:hint="eastAsia"/>
              </w:rPr>
              <w:sym w:font="Wingdings 2" w:char="00A3"/>
            </w:r>
            <w:r>
              <w:rPr>
                <w:rFonts w:hint="eastAsia"/>
              </w:rPr>
              <w:t xml:space="preserve">叉车 </w:t>
            </w:r>
            <w:r>
              <w:rPr>
                <w:rFonts w:hint="eastAsia"/>
              </w:rPr>
              <w:sym w:font="Wingdings 2" w:char="00A3"/>
            </w:r>
            <w:r>
              <w:rPr>
                <w:rFonts w:hint="eastAsia"/>
              </w:rPr>
              <w:t xml:space="preserve">行车 </w:t>
            </w:r>
            <w:r>
              <w:rPr>
                <w:rFonts w:hint="eastAsia"/>
              </w:rPr>
              <w:sym w:font="Wingdings 2" w:char="00A3"/>
            </w:r>
            <w:r>
              <w:rPr>
                <w:rFonts w:hint="eastAsia"/>
              </w:rPr>
              <w:t xml:space="preserve">锅炉 </w:t>
            </w:r>
            <w:r>
              <w:rPr>
                <w:rFonts w:hint="eastAsia"/>
              </w:rPr>
              <w:sym w:font="Wingdings 2" w:char="00A3"/>
            </w:r>
            <w:r>
              <w:rPr>
                <w:rFonts w:hint="eastAsia"/>
              </w:rPr>
              <w:t xml:space="preserve">电梯  </w:t>
            </w:r>
            <w:r>
              <w:rPr>
                <w:rFonts w:hint="eastAsia"/>
              </w:rPr>
              <w:sym w:font="Wingdings 2" w:char="00A3"/>
            </w:r>
            <w:r>
              <w:rPr>
                <w:rFonts w:hint="eastAsia"/>
              </w:rPr>
              <w:t xml:space="preserve">压力容器  </w:t>
            </w:r>
            <w:r>
              <w:rPr>
                <w:rFonts w:hint="eastAsia"/>
              </w:rPr>
              <w:sym w:font="Wingdings 2" w:char="00A3"/>
            </w:r>
            <w:r>
              <w:rPr>
                <w:rFonts w:hint="eastAsia"/>
              </w:rPr>
              <w:t xml:space="preserve">压力管道  </w:t>
            </w:r>
            <w:r>
              <w:rPr>
                <w:rFonts w:hint="eastAsia"/>
              </w:rPr>
              <w:sym w:font="Wingdings 2" w:char="0052"/>
            </w:r>
            <w:r>
              <w:rPr>
                <w:rFonts w:hint="eastAsia"/>
              </w:rPr>
              <w:t xml:space="preserve">不适用  </w:t>
            </w:r>
          </w:p>
          <w:p>
            <w:pPr>
              <w:shd w:val="clear" w:color="auto" w:fill="C7DAF1" w:themeFill="text2"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组织建立、实施和保持了适当的设计和开发过程，以确保后续的产品和服务的提供。（适用时）</w:t>
            </w:r>
          </w:p>
          <w:p>
            <w:pPr>
              <w:shd w:val="clear" w:color="auto" w:fill="C7DAF1" w:themeFill="text2" w:themeFillTint="32"/>
              <w:rPr>
                <w:highlight w:val="none"/>
              </w:rPr>
            </w:pPr>
            <w:r>
              <w:rPr>
                <w:rFonts w:hint="eastAsia"/>
                <w:highlight w:val="none"/>
              </w:rPr>
              <w:t>审核期间内设计和开发新产品/项目名称：</w:t>
            </w:r>
            <w:r>
              <w:rPr>
                <w:rFonts w:hint="eastAsia"/>
                <w:highlight w:val="none"/>
                <w:u w:val="single"/>
              </w:rPr>
              <w:t xml:space="preserve">   </w:t>
            </w:r>
            <w:r>
              <w:rPr>
                <w:rFonts w:hint="eastAsia" w:ascii="宋体" w:hAnsi="宋体"/>
                <w:szCs w:val="21"/>
                <w:highlight w:val="none"/>
                <w:u w:val="single"/>
              </w:rPr>
              <w:t>暮坪湘江特大桥项目党建展厅项目</w:t>
            </w:r>
            <w:r>
              <w:rPr>
                <w:rFonts w:hint="eastAsia"/>
                <w:highlight w:val="none"/>
                <w:u w:val="single"/>
              </w:rPr>
              <w:t xml:space="preserve">  （</w:t>
            </w:r>
            <w:r>
              <w:rPr>
                <w:rFonts w:hint="eastAsia"/>
                <w:highlight w:val="none"/>
              </w:rPr>
              <w:t>举1例）</w:t>
            </w:r>
          </w:p>
          <w:p>
            <w:pPr>
              <w:shd w:val="clear" w:color="auto" w:fill="C7DAF1" w:themeFill="text2" w:themeFillTint="32"/>
              <w:rPr>
                <w:highlight w:val="none"/>
              </w:rPr>
            </w:pPr>
            <w:r>
              <w:rPr>
                <w:rFonts w:hint="eastAsia"/>
                <w:highlight w:val="none"/>
              </w:rPr>
              <w:t>该项目的设计和开发的输入、输出、变更进行了控制。</w:t>
            </w:r>
          </w:p>
          <w:p>
            <w:pPr>
              <w:shd w:val="clear" w:color="auto" w:fill="C7DAF1" w:themeFill="text2" w:themeFillTint="32"/>
              <w:rPr>
                <w:highlight w:val="none"/>
              </w:rPr>
            </w:pPr>
            <w:r>
              <w:rPr>
                <w:rFonts w:hint="eastAsia"/>
                <w:highlight w:val="none"/>
              </w:rPr>
              <w:t>设计和开发控制：</w:t>
            </w:r>
            <w:r>
              <w:rPr>
                <w:rFonts w:hint="eastAsia" w:ascii="Wingdings" w:hAnsi="Wingdings"/>
                <w:highlight w:val="none"/>
                <w:lang w:eastAsia="zh-CN"/>
              </w:rPr>
              <w:sym w:font="Wingdings 2" w:char="0052"/>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rFonts w:ascii="宋体" w:hAnsi="宋体" w:cs="宋体"/>
                      <w:color w:val="000000"/>
                      <w:kern w:val="0"/>
                      <w:szCs w:val="21"/>
                    </w:rPr>
                    <w:t>展览展示策划及相关服务</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cs="Times New Roman"/>
                      <w:lang w:val="en-US" w:eastAsia="zh-CN"/>
                    </w:rPr>
                    <w:t>设计</w:t>
                  </w:r>
                  <w:r>
                    <w:rPr>
                      <w:rFonts w:hint="eastAsia" w:ascii="Times New Roman" w:hAnsi="Times New Roman" w:eastAsia="宋体" w:cs="Times New Roman"/>
                      <w:lang w:val="en-US" w:eastAsia="zh-CN"/>
                    </w:rPr>
                    <w:t>过程</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设计过程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A3"/>
            </w:r>
            <w:r>
              <w:rPr>
                <w:rFonts w:hint="eastAsia"/>
              </w:rPr>
              <w:t xml:space="preserve">进行了有效的确认  </w:t>
            </w:r>
            <w:r>
              <w:rPr>
                <w:rFonts w:hint="eastAsia" w:ascii="Wingdings" w:hAnsi="Wingdings"/>
                <w:lang w:eastAsia="zh-CN"/>
              </w:rPr>
              <w:sym w:font="Wingdings 2" w:char="0052"/>
            </w:r>
            <w:r>
              <w:rPr>
                <w:rFonts w:hint="eastAsia"/>
              </w:rPr>
              <w:t>存在不足，说明</w:t>
            </w:r>
            <w:r>
              <w:rPr>
                <w:rFonts w:hint="eastAsia"/>
                <w:u w:val="single"/>
              </w:rPr>
              <w:t xml:space="preserve"> </w:t>
            </w:r>
            <w:r>
              <w:rPr>
                <w:rFonts w:hint="eastAsia"/>
                <w:u w:val="single"/>
                <w:lang w:val="en-US" w:eastAsia="zh-CN"/>
              </w:rPr>
              <w:t>未进行过程确认，已开具不符合</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sz w:val="20"/>
          <w:szCs w:val="20"/>
        </w:rPr>
      </w:pPr>
    </w:p>
    <w:p>
      <w:pPr>
        <w:pStyle w:val="12"/>
        <w:rPr>
          <w:rFonts w:eastAsia="微软雅黑"/>
          <w:sz w:val="20"/>
          <w:szCs w:val="20"/>
        </w:rPr>
      </w:pPr>
    </w:p>
    <w:p>
      <w:pPr>
        <w:pStyle w:val="12"/>
        <w:rPr>
          <w:rFonts w:eastAsia="微软雅黑"/>
          <w:sz w:val="20"/>
          <w:szCs w:val="20"/>
        </w:rPr>
      </w:pPr>
    </w:p>
    <w:p>
      <w:pPr>
        <w:pStyle w:val="12"/>
        <w:rPr>
          <w:rFonts w:eastAsia="微软雅黑"/>
          <w:sz w:val="20"/>
          <w:szCs w:val="20"/>
        </w:rPr>
      </w:pPr>
    </w:p>
    <w:p>
      <w:pPr>
        <w:pStyle w:val="12"/>
        <w:rPr>
          <w:rFonts w:eastAsia="微软雅黑"/>
          <w:sz w:val="20"/>
          <w:szCs w:val="20"/>
        </w:rPr>
      </w:pPr>
    </w:p>
    <w:p>
      <w:pPr>
        <w:pStyle w:val="12"/>
        <w:rPr>
          <w:rFonts w:eastAsia="微软雅黑"/>
          <w:sz w:val="20"/>
          <w:szCs w:val="20"/>
        </w:rPr>
      </w:pPr>
    </w:p>
    <w:p>
      <w:pPr>
        <w:pStyle w:val="12"/>
        <w:rPr>
          <w:rFonts w:eastAsia="微软雅黑"/>
          <w:sz w:val="20"/>
          <w:szCs w:val="20"/>
        </w:rPr>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u w:val="single"/>
              </w:rPr>
              <w:t xml:space="preserve">   遵规守法，预防污染；高效低耗，环保营业                                  </w:t>
            </w:r>
          </w:p>
          <w:p>
            <w:pPr>
              <w:shd w:val="clear" w:color="auto" w:fill="EBF1DE" w:themeFill="accent3" w:themeFillTint="32"/>
              <w:rPr>
                <w:u w:val="single"/>
              </w:rPr>
            </w:pPr>
            <w:r>
              <w:rPr>
                <w:rFonts w:hint="eastAsia"/>
              </w:rPr>
              <w:t xml:space="preserve"> </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2840" w:type="dxa"/>
                  <w:vAlign w:val="top"/>
                </w:tcPr>
                <w:p>
                  <w:pPr>
                    <w:shd w:val="clear" w:color="auto" w:fill="EBF1DE" w:themeFill="accent3" w:themeFillTint="32"/>
                    <w:rPr>
                      <w:rFonts w:hint="eastAsia"/>
                      <w:lang w:val="en-US" w:eastAsia="zh-CN"/>
                    </w:rPr>
                  </w:pPr>
                  <w:r>
                    <w:rPr>
                      <w:rFonts w:hint="eastAsia"/>
                      <w:lang w:val="en-US" w:eastAsia="zh-CN"/>
                    </w:rPr>
                    <w:t>市场竞争大，服务质量不满足要求的话容易失去竞标机会</w:t>
                  </w:r>
                </w:p>
              </w:tc>
              <w:tc>
                <w:tcPr>
                  <w:tcW w:w="3965" w:type="dxa"/>
                  <w:vAlign w:val="top"/>
                </w:tcPr>
                <w:p>
                  <w:pPr>
                    <w:shd w:val="clear" w:color="auto" w:fill="EBF1DE" w:themeFill="accent3" w:themeFillTint="32"/>
                    <w:rPr>
                      <w:rFonts w:hint="eastAsia"/>
                      <w:lang w:val="en-US" w:eastAsia="zh-CN"/>
                    </w:rPr>
                  </w:pPr>
                  <w:r>
                    <w:rPr>
                      <w:rFonts w:hint="eastAsia"/>
                      <w:lang w:val="en-US" w:eastAsia="zh-CN"/>
                    </w:rPr>
                    <w:t>提升公司服务意识和管理，通过网络学习先进的知识</w:t>
                  </w:r>
                </w:p>
              </w:tc>
              <w:tc>
                <w:tcPr>
                  <w:tcW w:w="1717" w:type="dxa"/>
                  <w:vAlign w:val="top"/>
                </w:tcPr>
                <w:p>
                  <w:pPr>
                    <w:shd w:val="clear" w:color="auto" w:fill="EBF1DE" w:themeFill="accent3" w:themeFillTint="32"/>
                    <w:rPr>
                      <w:rFonts w:hint="eastAsia"/>
                      <w:lang w:val="en-US" w:eastAsia="zh-CN"/>
                    </w:rPr>
                  </w:pPr>
                  <w:r>
                    <w:rPr>
                      <w:rFonts w:hint="eastAsia"/>
                      <w:lang w:val="en-US" w:eastAsia="zh-CN"/>
                    </w:rPr>
                    <w:t>1、由行政部人员每个月对收集信息进行评价并整理</w:t>
                  </w:r>
                </w:p>
                <w:p>
                  <w:pPr>
                    <w:shd w:val="clear" w:color="auto" w:fill="EBF1DE" w:themeFill="accent3" w:themeFillTint="32"/>
                    <w:rPr>
                      <w:rFonts w:hint="eastAsia"/>
                      <w:lang w:val="en-US" w:eastAsia="zh-CN"/>
                    </w:rPr>
                  </w:pPr>
                  <w:r>
                    <w:rPr>
                      <w:rFonts w:hint="eastAsia"/>
                      <w:lang w:val="en-US" w:eastAsia="zh-CN"/>
                    </w:rPr>
                    <w:t>2、组织评价信息有效性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□废气排放 □粉尘排放  □危废排放 □噪声排放  □危化品泄露 □压力容器爆炸  </w:t>
            </w:r>
            <w:r>
              <w:rPr>
                <w:rFonts w:hint="eastAsia"/>
              </w:rPr>
              <w:sym w:font="Wingdings 2" w:char="0052"/>
            </w:r>
            <w:r>
              <w:rPr>
                <w:rFonts w:hint="eastAsia"/>
              </w:rPr>
              <w:t xml:space="preserve">火灾  </w:t>
            </w:r>
            <w:r>
              <w:rPr>
                <w:rFonts w:hint="eastAsia"/>
              </w:rPr>
              <w:sym w:font="Wingdings 2" w:char="0052"/>
            </w:r>
            <w:r>
              <w:rPr>
                <w:rFonts w:hint="eastAsia"/>
                <w:lang w:val="en-US" w:eastAsia="zh-CN"/>
              </w:rPr>
              <w:t xml:space="preserve">固废排放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lang w:val="en-US" w:eastAsia="zh-CN"/>
                    </w:rPr>
                  </w:pPr>
                  <w:r>
                    <w:rPr>
                      <w:rFonts w:hint="eastAsia"/>
                    </w:rPr>
                    <w:t>火灾事故为零</w:t>
                  </w:r>
                </w:p>
              </w:tc>
              <w:tc>
                <w:tcPr>
                  <w:tcW w:w="3136" w:type="dxa"/>
                  <w:shd w:val="clear" w:color="auto" w:fill="auto"/>
                  <w:vAlign w:val="top"/>
                </w:tcPr>
                <w:p>
                  <w:pPr>
                    <w:shd w:val="clear" w:color="auto" w:fill="EBF1DE" w:themeFill="accent3" w:themeFillTint="32"/>
                    <w:rPr>
                      <w:rFonts w:hint="eastAsia"/>
                    </w:rPr>
                  </w:pPr>
                  <w:r>
                    <w:rPr>
                      <w:rFonts w:hint="eastAsia"/>
                    </w:rPr>
                    <w:t>安全、消防知识学习；</w:t>
                  </w:r>
                </w:p>
                <w:p>
                  <w:pPr>
                    <w:shd w:val="clear" w:color="auto" w:fill="EBF1DE" w:themeFill="accent3" w:themeFillTint="32"/>
                    <w:rPr>
                      <w:rFonts w:hint="eastAsia"/>
                    </w:rPr>
                  </w:pPr>
                  <w:r>
                    <w:rPr>
                      <w:rFonts w:hint="eastAsia"/>
                    </w:rPr>
                    <w:t>更换接线插座；</w:t>
                  </w:r>
                </w:p>
                <w:p>
                  <w:pPr>
                    <w:shd w:val="clear" w:color="auto" w:fill="EBF1DE" w:themeFill="accent3" w:themeFillTint="32"/>
                    <w:rPr>
                      <w:rFonts w:hint="eastAsia"/>
                    </w:rPr>
                  </w:pPr>
                  <w:r>
                    <w:rPr>
                      <w:rFonts w:hint="eastAsia"/>
                    </w:rPr>
                    <w:t>定期巡检电路；</w:t>
                  </w:r>
                </w:p>
                <w:p>
                  <w:pPr>
                    <w:shd w:val="clear" w:color="auto" w:fill="EBF1DE" w:themeFill="accent3" w:themeFillTint="32"/>
                    <w:rPr>
                      <w:rFonts w:hint="eastAsia"/>
                    </w:rPr>
                  </w:pPr>
                  <w:r>
                    <w:rPr>
                      <w:rFonts w:hint="eastAsia"/>
                    </w:rPr>
                    <w:t>购买安全标识张贴</w:t>
                  </w:r>
                </w:p>
                <w:p>
                  <w:pPr>
                    <w:shd w:val="clear" w:color="auto" w:fill="EBF1DE" w:themeFill="accent3" w:themeFillTint="32"/>
                    <w:rPr>
                      <w:rFonts w:hint="default"/>
                      <w:lang w:val="en-GB" w:eastAsia="zh-CN"/>
                    </w:rPr>
                  </w:pPr>
                  <w:r>
                    <w:rPr>
                      <w:rFonts w:hint="eastAsia"/>
                    </w:rPr>
                    <w:t>消防演习每年至少一次</w:t>
                  </w:r>
                </w:p>
              </w:tc>
              <w:tc>
                <w:tcPr>
                  <w:tcW w:w="1350" w:type="dxa"/>
                  <w:shd w:val="clear" w:color="auto" w:fill="auto"/>
                  <w:vAlign w:val="center"/>
                </w:tcPr>
                <w:p>
                  <w:pPr>
                    <w:shd w:val="clear" w:color="auto" w:fill="EBF1DE" w:themeFill="accent3" w:themeFillTint="32"/>
                    <w:rPr>
                      <w:rFonts w:hint="default"/>
                      <w:lang w:val="en-GB" w:eastAsia="zh-CN"/>
                    </w:rPr>
                  </w:pPr>
                  <w:r>
                    <w:rPr>
                      <w:rFonts w:hint="eastAsia"/>
                      <w:lang w:val="en-US" w:eastAsia="zh-CN"/>
                    </w:rPr>
                    <w:t>各部门</w:t>
                  </w:r>
                </w:p>
              </w:tc>
              <w:tc>
                <w:tcPr>
                  <w:tcW w:w="1774" w:type="dxa"/>
                  <w:shd w:val="clear" w:color="auto" w:fill="auto"/>
                  <w:vAlign w:val="top"/>
                </w:tcPr>
                <w:p>
                  <w:pPr>
                    <w:shd w:val="clear" w:color="auto" w:fill="EBF1DE" w:themeFill="accent3" w:themeFillTint="32"/>
                    <w:rPr>
                      <w:rFonts w:hint="eastAsia"/>
                      <w:lang w:val="en-GB"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lang w:val="en-US" w:eastAsia="zh-CN"/>
                    </w:rPr>
                  </w:pPr>
                  <w:r>
                    <w:rPr>
                      <w:rFonts w:hint="eastAsia"/>
                    </w:rPr>
                    <w:t>固体废弃物分类处理率100%</w:t>
                  </w:r>
                </w:p>
              </w:tc>
              <w:tc>
                <w:tcPr>
                  <w:tcW w:w="3136" w:type="dxa"/>
                  <w:shd w:val="clear" w:color="auto" w:fill="auto"/>
                  <w:vAlign w:val="top"/>
                </w:tcPr>
                <w:p>
                  <w:pPr>
                    <w:shd w:val="clear" w:color="auto" w:fill="EBF1DE" w:themeFill="accent3" w:themeFillTint="32"/>
                    <w:rPr>
                      <w:rFonts w:hint="eastAsia"/>
                    </w:rPr>
                  </w:pPr>
                  <w:r>
                    <w:rPr>
                      <w:rFonts w:hint="eastAsia"/>
                    </w:rPr>
                    <w:t>按时</w:t>
                  </w:r>
                  <w:r>
                    <w:rPr>
                      <w:rFonts w:hint="eastAsia"/>
                      <w:lang w:val="en-US" w:eastAsia="zh-CN"/>
                    </w:rPr>
                    <w:t>进行</w:t>
                  </w:r>
                  <w:r>
                    <w:rPr>
                      <w:rFonts w:hint="eastAsia"/>
                    </w:rPr>
                    <w:t>垃圾清运；</w:t>
                  </w:r>
                  <w:r>
                    <w:rPr>
                      <w:rFonts w:hint="eastAsia"/>
                      <w:lang w:val="en-US" w:eastAsia="zh-CN"/>
                    </w:rPr>
                    <w:t>每日安排人员进行巡查</w:t>
                  </w:r>
                </w:p>
                <w:p>
                  <w:pPr>
                    <w:shd w:val="clear" w:color="auto" w:fill="EBF1DE" w:themeFill="accent3" w:themeFillTint="32"/>
                    <w:rPr>
                      <w:rFonts w:hint="eastAsia"/>
                      <w:lang w:val="en-US" w:eastAsia="zh-CN"/>
                    </w:rPr>
                  </w:pPr>
                  <w:r>
                    <w:rPr>
                      <w:rFonts w:hint="eastAsia"/>
                    </w:rPr>
                    <w:t>购买有盖垃圾箱/桶，分类贮存固废，集中送至</w:t>
                  </w:r>
                  <w:r>
                    <w:rPr>
                      <w:rFonts w:hint="eastAsia"/>
                      <w:lang w:val="en-US" w:eastAsia="zh-CN"/>
                    </w:rPr>
                    <w:t>处理站</w:t>
                  </w:r>
                  <w:r>
                    <w:rPr>
                      <w:rFonts w:hint="eastAsia"/>
                    </w:rPr>
                    <w:t>回收</w:t>
                  </w:r>
                  <w:r>
                    <w:rPr>
                      <w:rFonts w:hint="eastAsia"/>
                      <w:lang w:val="en-US" w:eastAsia="zh-CN"/>
                    </w:rPr>
                    <w:t>处置</w:t>
                  </w:r>
                  <w:r>
                    <w:rPr>
                      <w:rFonts w:hint="eastAsia"/>
                    </w:rPr>
                    <w:t>。</w:t>
                  </w:r>
                </w:p>
              </w:tc>
              <w:tc>
                <w:tcPr>
                  <w:tcW w:w="1350"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rPr>
                      <w:rFonts w:hint="eastAsia"/>
                      <w:lang w:val="en-US" w:eastAsia="zh-CN"/>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785.55</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宋体" w:hAnsi="宋体" w:cs="宋体"/>
                <w:sz w:val="21"/>
                <w:szCs w:val="21"/>
                <w:u w:val="single"/>
              </w:rPr>
              <w:t>电脑、显示器、电话、传真、网络、办公桌等办公设备</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w:t>
            </w:r>
            <w:bookmarkStart w:id="21" w:name="_GoBack"/>
            <w:r>
              <w:rPr>
                <w:rFonts w:hint="eastAsia"/>
                <w:highlight w:val="none"/>
              </w:rPr>
              <w:t>建立、实施和保持了适当的设计和开发过程，以确保后续的产品和服务的提供中满足环境相关的法律法规。（适用时）</w:t>
            </w:r>
          </w:p>
          <w:p>
            <w:pPr>
              <w:shd w:val="clear" w:color="auto" w:fill="EBF1DE" w:themeFill="accent3" w:themeFillTint="32"/>
              <w:rPr>
                <w:highlight w:val="none"/>
              </w:rPr>
            </w:pPr>
            <w:r>
              <w:rPr>
                <w:rFonts w:hint="eastAsia"/>
                <w:highlight w:val="none"/>
              </w:rPr>
              <w:t>审核期间内，设计和开发新产品/项目名称：</w:t>
            </w:r>
            <w:r>
              <w:rPr>
                <w:rFonts w:hint="eastAsia" w:ascii="Times New Roman" w:hAnsi="Times New Roman" w:eastAsia="宋体" w:cs="Times New Roman"/>
                <w:highlight w:val="none"/>
                <w:u w:val="single"/>
              </w:rPr>
              <w:t xml:space="preserve">  暮坪湘江特大桥项目党建展厅项目</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对该设计和开发的项目对环境因素进行了识别和评价，并制订了控制措施。</w:t>
            </w:r>
          </w:p>
          <w:p>
            <w:pPr>
              <w:shd w:val="clear" w:color="auto" w:fill="EBF1DE" w:themeFill="accent3" w:themeFillTint="32"/>
              <w:rPr>
                <w:highlight w:val="none"/>
              </w:rPr>
            </w:pPr>
            <w:r>
              <w:rPr>
                <w:rFonts w:hint="eastAsia"/>
                <w:highlight w:val="none"/>
              </w:rPr>
              <w:t>设计和开发的环境因素控制：</w:t>
            </w:r>
          </w:p>
          <w:bookmarkEnd w:id="21"/>
          <w:p>
            <w:pPr>
              <w:shd w:val="clear" w:color="auto" w:fill="EBF1DE" w:themeFill="accent3" w:themeFillTint="32"/>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重要环境因素</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能源消耗</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资源消耗</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废水排放</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废气排放</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噪声排放</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固废排放</w:t>
                  </w:r>
                </w:p>
              </w:tc>
              <w:tc>
                <w:tcPr>
                  <w:tcW w:w="3665" w:type="dxa"/>
                  <w:vAlign w:val="top"/>
                </w:tcPr>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环境管理方案、运行控制程序</w:t>
                  </w:r>
                </w:p>
              </w:tc>
              <w:tc>
                <w:tcPr>
                  <w:tcW w:w="3265" w:type="dxa"/>
                  <w:vAlign w:val="center"/>
                </w:tcPr>
                <w:p>
                  <w:pPr>
                    <w:shd w:val="clear" w:color="auto" w:fill="EBF1DE" w:themeFill="accent3" w:themeFillTint="32"/>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highlight w:val="none"/>
                      <w:lang w:val="en-US" w:eastAsia="zh-CN"/>
                    </w:rPr>
                  </w:pPr>
                </w:p>
              </w:tc>
              <w:tc>
                <w:tcPr>
                  <w:tcW w:w="3265" w:type="dxa"/>
                  <w:vAlign w:val="center"/>
                </w:tcPr>
                <w:p>
                  <w:pPr>
                    <w:shd w:val="clear" w:color="auto" w:fill="EBF1DE" w:themeFill="accent3" w:themeFillTint="32"/>
                    <w:jc w:val="left"/>
                    <w:rPr>
                      <w:rFonts w:hint="eastAsia" w:ascii="Times New Roman" w:hAnsi="Times New Roman" w:eastAsia="宋体" w:cs="Times New Roman"/>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火灾</w:t>
                  </w:r>
                </w:p>
              </w:tc>
              <w:tc>
                <w:tcPr>
                  <w:tcW w:w="3665" w:type="dxa"/>
                  <w:vAlign w:val="top"/>
                </w:tcPr>
                <w:p>
                  <w:pPr>
                    <w:shd w:val="clear" w:color="auto" w:fill="EBF1DE" w:themeFill="accent3" w:themeFillTint="3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制定环境管理方案、运行控制程序   </w:t>
                  </w:r>
                </w:p>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应急预案及 应急演练</w:t>
                  </w:r>
                </w:p>
              </w:tc>
              <w:tc>
                <w:tcPr>
                  <w:tcW w:w="3265" w:type="dxa"/>
                  <w:vAlign w:val="center"/>
                </w:tcPr>
                <w:p>
                  <w:pPr>
                    <w:shd w:val="clear" w:color="auto" w:fill="EBF1DE" w:themeFill="accent3" w:themeFillTint="32"/>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其他</w:t>
                  </w:r>
                </w:p>
              </w:tc>
              <w:tc>
                <w:tcPr>
                  <w:tcW w:w="3665" w:type="dxa"/>
                </w:tcPr>
                <w:p>
                  <w:pPr>
                    <w:shd w:val="clear" w:color="auto" w:fill="EBF1DE" w:themeFill="accent3" w:themeFillTint="32"/>
                    <w:jc w:val="left"/>
                    <w:rPr>
                      <w:rFonts w:hint="eastAsia" w:ascii="Times New Roman" w:hAnsi="Times New Roman" w:eastAsia="宋体" w:cs="Times New Roman"/>
                      <w:highlight w:val="none"/>
                    </w:rPr>
                  </w:pPr>
                </w:p>
              </w:tc>
              <w:tc>
                <w:tcPr>
                  <w:tcW w:w="3265" w:type="dxa"/>
                </w:tcPr>
                <w:p>
                  <w:pPr>
                    <w:shd w:val="clear" w:color="auto" w:fill="EBF1DE" w:themeFill="accent3" w:themeFillTint="32"/>
                    <w:jc w:val="left"/>
                    <w:rPr>
                      <w:rFonts w:hint="eastAsia" w:ascii="Times New Roman" w:hAnsi="Times New Roman" w:eastAsia="宋体" w:cs="Times New Roman"/>
                      <w:highlight w:val="none"/>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sym w:font="Wingdings 2" w:char="0052"/>
            </w:r>
            <w:r>
              <w:rPr>
                <w:rFonts w:hint="eastAsia"/>
              </w:rPr>
              <w:t xml:space="preserve">废物回收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lang w:val="en-US" w:eastAsia="zh-CN"/>
              </w:rPr>
              <w:t xml:space="preserve"> 2021年3月9日</w:t>
            </w:r>
            <w:r>
              <w:rPr>
                <w:rFonts w:hint="eastAsia"/>
              </w:rPr>
              <w:t>进行了</w:t>
            </w:r>
            <w:r>
              <w:rPr>
                <w:rFonts w:hint="eastAsia"/>
                <w:u w:val="single"/>
              </w:rPr>
              <w:t xml:space="preserve">   </w:t>
            </w:r>
            <w:r>
              <w:rPr>
                <w:rFonts w:hint="eastAsia"/>
                <w:u w:val="single"/>
                <w:lang w:val="en-US" w:eastAsia="zh-CN"/>
              </w:rPr>
              <w:t>火灾应急</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eastAsia="zh-CN"/>
              </w:rPr>
              <w:t>20</w:t>
            </w:r>
            <w:r>
              <w:rPr>
                <w:rFonts w:hint="eastAsia"/>
                <w:u w:val="single"/>
                <w:lang w:val="en-US" w:eastAsia="zh-CN"/>
              </w:rPr>
              <w:t>21</w:t>
            </w:r>
            <w:r>
              <w:rPr>
                <w:rFonts w:hint="eastAsia"/>
                <w:u w:val="single"/>
                <w:lang w:eastAsia="zh-CN"/>
              </w:rPr>
              <w:t>年</w:t>
            </w:r>
            <w:r>
              <w:rPr>
                <w:rFonts w:hint="eastAsia"/>
                <w:u w:val="single"/>
                <w:lang w:val="en-US" w:eastAsia="zh-CN"/>
              </w:rPr>
              <w:t>3</w:t>
            </w:r>
            <w:r>
              <w:rPr>
                <w:rFonts w:hint="eastAsia"/>
                <w:u w:val="single"/>
                <w:lang w:eastAsia="zh-CN"/>
              </w:rPr>
              <w:t>月</w:t>
            </w:r>
            <w:r>
              <w:rPr>
                <w:rFonts w:hint="eastAsia"/>
                <w:u w:val="single"/>
                <w:lang w:val="en-US" w:eastAsia="zh-CN"/>
              </w:rPr>
              <w:t>2</w:t>
            </w:r>
            <w:r>
              <w:rPr>
                <w:rFonts w:hint="eastAsia"/>
                <w:u w:val="single"/>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4 </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0D67D7"/>
    <w:rsid w:val="03695F07"/>
    <w:rsid w:val="04180EEE"/>
    <w:rsid w:val="06E03461"/>
    <w:rsid w:val="072C2A55"/>
    <w:rsid w:val="07A44944"/>
    <w:rsid w:val="07FC4D10"/>
    <w:rsid w:val="08023329"/>
    <w:rsid w:val="0B140D55"/>
    <w:rsid w:val="0B7C6C18"/>
    <w:rsid w:val="0C9104A5"/>
    <w:rsid w:val="0E722B53"/>
    <w:rsid w:val="0F413B51"/>
    <w:rsid w:val="0F823D37"/>
    <w:rsid w:val="10F75293"/>
    <w:rsid w:val="11A07E5F"/>
    <w:rsid w:val="12491B10"/>
    <w:rsid w:val="13BB7963"/>
    <w:rsid w:val="13FA1873"/>
    <w:rsid w:val="16157B66"/>
    <w:rsid w:val="18121A44"/>
    <w:rsid w:val="1A04081C"/>
    <w:rsid w:val="1DD86BEE"/>
    <w:rsid w:val="1EF103E1"/>
    <w:rsid w:val="20325D77"/>
    <w:rsid w:val="20524ED7"/>
    <w:rsid w:val="209C7624"/>
    <w:rsid w:val="2129787D"/>
    <w:rsid w:val="213333B4"/>
    <w:rsid w:val="22C41BB6"/>
    <w:rsid w:val="239D17B3"/>
    <w:rsid w:val="23F33145"/>
    <w:rsid w:val="23F864DE"/>
    <w:rsid w:val="24BB044A"/>
    <w:rsid w:val="25242B30"/>
    <w:rsid w:val="25AF7481"/>
    <w:rsid w:val="2624473A"/>
    <w:rsid w:val="264D303C"/>
    <w:rsid w:val="26AA3FDF"/>
    <w:rsid w:val="27662844"/>
    <w:rsid w:val="2AF5515C"/>
    <w:rsid w:val="2C2433BC"/>
    <w:rsid w:val="2D4958F3"/>
    <w:rsid w:val="2DAB46F1"/>
    <w:rsid w:val="2DF25EC1"/>
    <w:rsid w:val="2EE56EA3"/>
    <w:rsid w:val="2F5C2E70"/>
    <w:rsid w:val="33EE7B67"/>
    <w:rsid w:val="33FE0FA6"/>
    <w:rsid w:val="359726F4"/>
    <w:rsid w:val="35EC7F73"/>
    <w:rsid w:val="398604B8"/>
    <w:rsid w:val="3A853B7A"/>
    <w:rsid w:val="3AA56A3E"/>
    <w:rsid w:val="3B1D4BB8"/>
    <w:rsid w:val="3CC22232"/>
    <w:rsid w:val="3D275777"/>
    <w:rsid w:val="3D507B04"/>
    <w:rsid w:val="3E9E0ECC"/>
    <w:rsid w:val="40A004FB"/>
    <w:rsid w:val="434912D4"/>
    <w:rsid w:val="44BE4044"/>
    <w:rsid w:val="45252542"/>
    <w:rsid w:val="4CA712E0"/>
    <w:rsid w:val="4D851B09"/>
    <w:rsid w:val="4DB9533F"/>
    <w:rsid w:val="4E8E5CC9"/>
    <w:rsid w:val="4F874608"/>
    <w:rsid w:val="500E5F8D"/>
    <w:rsid w:val="515E263E"/>
    <w:rsid w:val="516E63A0"/>
    <w:rsid w:val="52661FE4"/>
    <w:rsid w:val="53916C15"/>
    <w:rsid w:val="56D659F4"/>
    <w:rsid w:val="57345CE9"/>
    <w:rsid w:val="58561194"/>
    <w:rsid w:val="591A4026"/>
    <w:rsid w:val="59D22302"/>
    <w:rsid w:val="5A5932BF"/>
    <w:rsid w:val="5A635F7E"/>
    <w:rsid w:val="5B8D5DD2"/>
    <w:rsid w:val="5BBF4970"/>
    <w:rsid w:val="5CFE318B"/>
    <w:rsid w:val="5E6369D1"/>
    <w:rsid w:val="5F2F251E"/>
    <w:rsid w:val="5FD549AE"/>
    <w:rsid w:val="60F0148C"/>
    <w:rsid w:val="61383D52"/>
    <w:rsid w:val="61792488"/>
    <w:rsid w:val="62354A3E"/>
    <w:rsid w:val="62A802BA"/>
    <w:rsid w:val="633A6031"/>
    <w:rsid w:val="645E1C75"/>
    <w:rsid w:val="67102CB6"/>
    <w:rsid w:val="682E169E"/>
    <w:rsid w:val="6B0B4A06"/>
    <w:rsid w:val="6C5B09A4"/>
    <w:rsid w:val="6D945ABC"/>
    <w:rsid w:val="6E2D06A2"/>
    <w:rsid w:val="6EEF0D18"/>
    <w:rsid w:val="6F5B3CB0"/>
    <w:rsid w:val="709C7E46"/>
    <w:rsid w:val="70BE0FE0"/>
    <w:rsid w:val="72A66A83"/>
    <w:rsid w:val="77355C7D"/>
    <w:rsid w:val="784A5173"/>
    <w:rsid w:val="795363E8"/>
    <w:rsid w:val="795D54FF"/>
    <w:rsid w:val="7B294778"/>
    <w:rsid w:val="7B957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Default"/>
    <w:unhideWhenUsed/>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2021-08-20T01:15:04Z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