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受审核部门：生产部     主管领导：</w:t>
            </w:r>
            <w:r>
              <w:rPr>
                <w:rFonts w:hint="eastAsia" w:ascii="宋体" w:hAnsi="宋体" w:eastAsia="宋体" w:cs="宋体"/>
                <w:sz w:val="21"/>
                <w:szCs w:val="21"/>
                <w:lang w:val="en-US" w:eastAsia="zh-CN"/>
              </w:rPr>
              <w:t>韩王义</w:t>
            </w:r>
            <w:r>
              <w:rPr>
                <w:rFonts w:hint="eastAsia" w:ascii="宋体" w:hAnsi="宋体" w:eastAsia="宋体" w:cs="宋体"/>
                <w:sz w:val="21"/>
                <w:szCs w:val="21"/>
              </w:rPr>
              <w:t xml:space="preserve">     陪同人员：</w:t>
            </w:r>
            <w:r>
              <w:rPr>
                <w:rFonts w:hint="eastAsia" w:ascii="宋体" w:hAnsi="宋体" w:cs="宋体"/>
                <w:sz w:val="21"/>
                <w:szCs w:val="21"/>
                <w:lang w:val="en-US" w:eastAsia="zh-CN"/>
              </w:rPr>
              <w:t>严伟</w:t>
            </w:r>
          </w:p>
        </w:tc>
        <w:tc>
          <w:tcPr>
            <w:tcW w:w="1585"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李俐</w:t>
            </w:r>
            <w:r>
              <w:rPr>
                <w:rFonts w:hint="eastAsia" w:ascii="宋体" w:hAnsi="宋体" w:eastAsia="宋体" w:cs="宋体"/>
                <w:sz w:val="21"/>
                <w:szCs w:val="21"/>
              </w:rPr>
              <w:t xml:space="preserve">        审核时间：202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cs="宋体"/>
                <w:sz w:val="21"/>
                <w:szCs w:val="21"/>
                <w:lang w:val="en-US" w:eastAsia="zh-CN"/>
              </w:rPr>
              <w:t>17</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adjustRightInd w:val="0"/>
              <w:snapToGrid w:val="0"/>
              <w:spacing w:line="36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审核条款：EMS：5.3组织的岗位、职责和权限、6.2环境目标、6.1.2环境因素、8.1运行策划和控制、8.2应急准备和响应，</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职责权限</w:t>
            </w:r>
          </w:p>
        </w:tc>
        <w:tc>
          <w:tcPr>
            <w:tcW w:w="1311" w:type="dxa"/>
          </w:tcPr>
          <w:p>
            <w:pPr>
              <w:snapToGrid w:val="0"/>
              <w:spacing w:line="360" w:lineRule="auto"/>
              <w:rPr>
                <w:rFonts w:hint="eastAsia" w:ascii="宋体" w:hAnsi="宋体" w:cs="宋体"/>
                <w:bCs/>
                <w:sz w:val="21"/>
                <w:szCs w:val="21"/>
                <w:lang w:eastAsia="zh-CN"/>
              </w:rPr>
            </w:pPr>
          </w:p>
          <w:p>
            <w:pPr>
              <w:pStyle w:val="2"/>
              <w:rPr>
                <w:rFonts w:hint="eastAsia"/>
                <w:lang w:eastAsia="zh-CN"/>
              </w:rPr>
            </w:pPr>
          </w:p>
          <w:p>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E5.3</w:t>
            </w:r>
            <w:r>
              <w:rPr>
                <w:rFonts w:hint="eastAsia" w:ascii="宋体" w:hAnsi="宋体" w:eastAsia="宋体" w:cs="宋体"/>
                <w:sz w:val="21"/>
                <w:szCs w:val="21"/>
              </w:rPr>
              <w:t xml:space="preserve"> </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询问生产部负责人</w:t>
            </w:r>
            <w:r>
              <w:rPr>
                <w:rFonts w:hint="eastAsia" w:ascii="宋体" w:hAnsi="宋体" w:eastAsia="宋体" w:cs="宋体"/>
                <w:sz w:val="21"/>
                <w:szCs w:val="21"/>
                <w:lang w:val="en-US" w:eastAsia="zh-CN"/>
              </w:rPr>
              <w:t>韩王义</w:t>
            </w:r>
            <w:r>
              <w:rPr>
                <w:rFonts w:hint="eastAsia" w:ascii="宋体" w:hAnsi="宋体" w:eastAsia="宋体" w:cs="宋体"/>
                <w:sz w:val="21"/>
                <w:szCs w:val="21"/>
              </w:rPr>
              <w:t>，能明确本人在环境管理体系方面的职责：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部门环境因素识别评价及运行控制</w:t>
            </w:r>
            <w:r>
              <w:rPr>
                <w:rFonts w:hint="eastAsia" w:ascii="宋体" w:hAnsi="宋体" w:eastAsia="宋体" w:cs="宋体"/>
                <w:sz w:val="21"/>
                <w:szCs w:val="21"/>
                <w:lang w:eastAsia="zh-CN"/>
              </w:rPr>
              <w:t>；</w:t>
            </w:r>
            <w:r>
              <w:rPr>
                <w:rFonts w:hint="eastAsia" w:ascii="宋体" w:hAnsi="宋体" w:eastAsia="宋体" w:cs="宋体"/>
                <w:sz w:val="21"/>
                <w:szCs w:val="21"/>
              </w:rPr>
              <w:t>负责生产现场运行控制管理，实施监督和检查</w:t>
            </w:r>
            <w:r>
              <w:rPr>
                <w:rFonts w:hint="eastAsia" w:ascii="宋体" w:hAnsi="宋体" w:eastAsia="宋体" w:cs="宋体"/>
                <w:sz w:val="21"/>
                <w:szCs w:val="21"/>
                <w:lang w:eastAsia="zh-CN"/>
              </w:rPr>
              <w:t>；</w:t>
            </w:r>
            <w:r>
              <w:rPr>
                <w:rFonts w:hint="eastAsia" w:ascii="宋体" w:hAnsi="宋体" w:eastAsia="宋体" w:cs="宋体"/>
                <w:sz w:val="21"/>
                <w:szCs w:val="21"/>
              </w:rPr>
              <w:t>贯彻公司环境管理方针、目标、指标和方案，组织协调生产过程中重要环境因素的有效控制；</w:t>
            </w:r>
            <w:r>
              <w:rPr>
                <w:rFonts w:hint="eastAsia" w:ascii="宋体" w:hAnsi="宋体" w:eastAsia="宋体" w:cs="宋体"/>
                <w:sz w:val="21"/>
                <w:szCs w:val="21"/>
                <w:lang w:eastAsia="zh-CN"/>
              </w:rPr>
              <w:t>；</w:t>
            </w:r>
            <w:r>
              <w:rPr>
                <w:rFonts w:hint="eastAsia" w:ascii="宋体" w:hAnsi="宋体" w:eastAsia="宋体" w:cs="宋体"/>
                <w:sz w:val="21"/>
                <w:szCs w:val="21"/>
              </w:rPr>
              <w:t>根据公司生产经营计划合理调度，合理配置动力能源，提高能源利用率；参加环境事件的调查处理工作</w:t>
            </w:r>
            <w:r>
              <w:rPr>
                <w:rFonts w:hint="eastAsia" w:ascii="宋体" w:hAnsi="宋体" w:eastAsia="宋体" w:cs="宋体"/>
                <w:sz w:val="21"/>
                <w:szCs w:val="21"/>
                <w:lang w:eastAsia="zh-CN"/>
              </w:rPr>
              <w:t>；</w:t>
            </w:r>
            <w:r>
              <w:rPr>
                <w:rFonts w:hint="eastAsia" w:ascii="宋体" w:hAnsi="宋体" w:eastAsia="宋体" w:cs="宋体"/>
                <w:sz w:val="21"/>
                <w:szCs w:val="21"/>
              </w:rPr>
              <w:t>负责产品交付与发运过程的环境管理工作</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目标 </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E6.2</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部门目标：  </w:t>
            </w:r>
          </w:p>
          <w:tbl>
            <w:tblPr>
              <w:tblStyle w:val="8"/>
              <w:tblW w:w="86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3523"/>
              <w:gridCol w:w="3075"/>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blHeader/>
                <w:jc w:val="center"/>
              </w:trPr>
              <w:tc>
                <w:tcPr>
                  <w:tcW w:w="1018" w:type="dxa"/>
                  <w:tcBorders>
                    <w:top w:val="single" w:color="auto" w:sz="4" w:space="0"/>
                    <w:left w:val="single" w:color="auto" w:sz="4" w:space="0"/>
                    <w:right w:val="single" w:color="auto" w:sz="4" w:space="0"/>
                  </w:tcBorders>
                  <w:vAlign w:val="center"/>
                </w:tcPr>
                <w:p>
                  <w:pPr>
                    <w:spacing w:line="300" w:lineRule="exact"/>
                    <w:jc w:val="left"/>
                    <w:rPr>
                      <w:rFonts w:hint="eastAsia" w:ascii="宋体" w:hAnsi="宋体" w:eastAsia="宋体" w:cs="Times New Roman"/>
                      <w:bCs/>
                      <w:color w:val="000000"/>
                      <w:kern w:val="2"/>
                      <w:sz w:val="21"/>
                      <w:szCs w:val="21"/>
                      <w:lang w:val="en-US" w:eastAsia="zh-CN" w:bidi="ar-SA"/>
                    </w:rPr>
                  </w:pPr>
                  <w:r>
                    <w:rPr>
                      <w:rFonts w:hint="eastAsia" w:ascii="宋体" w:hAnsi="宋体"/>
                      <w:bCs/>
                      <w:color w:val="000000"/>
                      <w:sz w:val="21"/>
                      <w:szCs w:val="21"/>
                    </w:rPr>
                    <w:t>部 门</w:t>
                  </w:r>
                </w:p>
              </w:tc>
              <w:tc>
                <w:tcPr>
                  <w:tcW w:w="352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Times New Roman"/>
                      <w:bCs/>
                      <w:color w:val="000000"/>
                      <w:kern w:val="2"/>
                      <w:sz w:val="21"/>
                      <w:szCs w:val="21"/>
                      <w:lang w:val="en-US" w:eastAsia="zh-CN" w:bidi="ar-SA"/>
                    </w:rPr>
                  </w:pPr>
                  <w:r>
                    <w:rPr>
                      <w:rFonts w:hint="eastAsia" w:ascii="宋体" w:hAnsi="宋体"/>
                      <w:bCs/>
                      <w:color w:val="000000"/>
                      <w:sz w:val="21"/>
                      <w:szCs w:val="21"/>
                    </w:rPr>
                    <w:t>目            标</w:t>
                  </w:r>
                </w:p>
              </w:tc>
              <w:tc>
                <w:tcPr>
                  <w:tcW w:w="307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Times New Roman"/>
                      <w:bCs/>
                      <w:color w:val="000000"/>
                      <w:kern w:val="2"/>
                      <w:sz w:val="21"/>
                      <w:szCs w:val="21"/>
                      <w:lang w:val="en-US" w:eastAsia="zh-CN" w:bidi="ar-SA"/>
                    </w:rPr>
                  </w:pPr>
                  <w:r>
                    <w:rPr>
                      <w:rFonts w:hint="eastAsia" w:ascii="宋体" w:hAnsi="宋体"/>
                      <w:bCs/>
                      <w:color w:val="000000"/>
                      <w:sz w:val="21"/>
                      <w:szCs w:val="21"/>
                    </w:rPr>
                    <w:t>计    算    方    法</w:t>
                  </w:r>
                </w:p>
              </w:tc>
              <w:tc>
                <w:tcPr>
                  <w:tcW w:w="105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Times New Roman"/>
                      <w:bCs/>
                      <w:color w:val="000000"/>
                      <w:kern w:val="2"/>
                      <w:sz w:val="21"/>
                      <w:szCs w:val="21"/>
                      <w:lang w:val="en-US" w:eastAsia="zh-CN" w:bidi="ar-SA"/>
                    </w:rPr>
                  </w:pPr>
                  <w:r>
                    <w:rPr>
                      <w:rFonts w:hint="eastAsia" w:ascii="宋体" w:hAnsi="宋体"/>
                      <w:bCs/>
                      <w:color w:val="000000"/>
                      <w:sz w:val="21"/>
                      <w:szCs w:val="21"/>
                    </w:rPr>
                    <w:t>统计结果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blHeader/>
                <w:jc w:val="center"/>
              </w:trPr>
              <w:tc>
                <w:tcPr>
                  <w:tcW w:w="1018" w:type="dxa"/>
                  <w:vMerge w:val="restart"/>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olor w:val="000000"/>
                      <w:sz w:val="21"/>
                      <w:szCs w:val="21"/>
                      <w:lang w:eastAsia="zh-CN"/>
                    </w:rPr>
                  </w:pPr>
                  <w:r>
                    <w:rPr>
                      <w:rFonts w:hint="eastAsia" w:ascii="宋体" w:hAnsi="宋体"/>
                      <w:color w:val="000000"/>
                      <w:sz w:val="21"/>
                      <w:szCs w:val="21"/>
                    </w:rPr>
                    <w:t>生产</w:t>
                  </w:r>
                  <w:r>
                    <w:rPr>
                      <w:rFonts w:hint="eastAsia" w:ascii="宋体" w:hAnsi="宋体"/>
                      <w:color w:val="000000"/>
                      <w:sz w:val="21"/>
                      <w:szCs w:val="21"/>
                      <w:lang w:val="en-US" w:eastAsia="zh-CN"/>
                    </w:rPr>
                    <w:t>部</w:t>
                  </w: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环保设备按期检定率100%</w:t>
                  </w:r>
                </w:p>
              </w:tc>
              <w:tc>
                <w:tcPr>
                  <w:tcW w:w="30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按期检定数量/环保设备总数</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jc w:val="left"/>
                    <w:rPr>
                      <w:rFonts w:ascii="楷体_GB2312" w:hAnsi="宋体" w:eastAsia="楷体_GB2312"/>
                      <w:bCs/>
                      <w:color w:val="000000"/>
                      <w:sz w:val="21"/>
                      <w:szCs w:val="21"/>
                    </w:rPr>
                  </w:pPr>
                  <w:r>
                    <w:rPr>
                      <w:rFonts w:hint="eastAsia" w:ascii="楷体_GB2312" w:hAnsi="宋体" w:eastAsia="楷体_GB2312"/>
                      <w:bCs/>
                      <w:color w:val="000000"/>
                      <w:sz w:val="21"/>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blHeader/>
                <w:jc w:val="center"/>
              </w:trPr>
              <w:tc>
                <w:tcPr>
                  <w:tcW w:w="1018" w:type="dxa"/>
                  <w:vMerge w:val="continue"/>
                  <w:tcBorders>
                    <w:top w:val="single" w:color="auto" w:sz="4" w:space="0"/>
                    <w:left w:val="single" w:color="auto" w:sz="4" w:space="0"/>
                    <w:right w:val="single" w:color="auto" w:sz="4" w:space="0"/>
                  </w:tcBorders>
                  <w:vAlign w:val="center"/>
                </w:tcPr>
                <w:p>
                  <w:pPr>
                    <w:spacing w:line="400" w:lineRule="exact"/>
                    <w:rPr>
                      <w:rFonts w:ascii="宋体" w:hAnsi="宋体"/>
                      <w:color w:val="000000"/>
                      <w:sz w:val="21"/>
                      <w:szCs w:val="21"/>
                    </w:rPr>
                  </w:pP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ascii="宋体" w:hAnsi="宋体"/>
                      <w:color w:val="000000"/>
                      <w:sz w:val="21"/>
                      <w:szCs w:val="21"/>
                    </w:rPr>
                    <w:t>安全环保检查整改计划落实率</w:t>
                  </w:r>
                  <w:r>
                    <w:rPr>
                      <w:rFonts w:hint="eastAsia" w:ascii="宋体" w:hAnsi="宋体"/>
                      <w:color w:val="000000"/>
                      <w:sz w:val="21"/>
                      <w:szCs w:val="21"/>
                    </w:rPr>
                    <w:t xml:space="preserve"> 100%</w:t>
                  </w:r>
                </w:p>
              </w:tc>
              <w:tc>
                <w:tcPr>
                  <w:tcW w:w="3075"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rPr>
                      <w:rFonts w:ascii="宋体" w:hAnsi="宋体"/>
                      <w:color w:val="000000"/>
                      <w:sz w:val="21"/>
                      <w:szCs w:val="21"/>
                    </w:rPr>
                  </w:pPr>
                  <w:r>
                    <w:rPr>
                      <w:rFonts w:ascii="宋体" w:hAnsi="宋体"/>
                      <w:color w:val="000000"/>
                      <w:sz w:val="21"/>
                      <w:szCs w:val="21"/>
                    </w:rPr>
                    <w:t>有效整改数</w:t>
                  </w:r>
                  <w:r>
                    <w:rPr>
                      <w:rFonts w:hint="eastAsia" w:ascii="宋体" w:hAnsi="宋体"/>
                      <w:color w:val="000000"/>
                      <w:sz w:val="21"/>
                      <w:szCs w:val="21"/>
                    </w:rPr>
                    <w:t>/整改项总数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楷体_GB2312" w:hAnsi="宋体" w:eastAsia="楷体_GB2312"/>
                      <w:bCs/>
                      <w:color w:val="000000"/>
                      <w:spacing w:val="-8"/>
                      <w:kern w:val="0"/>
                      <w:sz w:val="21"/>
                      <w:szCs w:val="21"/>
                    </w:rPr>
                  </w:pPr>
                  <w:r>
                    <w:rPr>
                      <w:rFonts w:hint="eastAsia" w:ascii="楷体_GB2312" w:hAnsi="宋体" w:eastAsia="楷体_GB2312"/>
                      <w:bCs/>
                      <w:color w:val="000000"/>
                      <w:spacing w:val="-8"/>
                      <w:kern w:val="0"/>
                      <w:sz w:val="21"/>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blHeader/>
                <w:jc w:val="center"/>
              </w:trPr>
              <w:tc>
                <w:tcPr>
                  <w:tcW w:w="1018" w:type="dxa"/>
                  <w:vMerge w:val="continue"/>
                  <w:tcBorders>
                    <w:left w:val="single" w:color="auto" w:sz="4" w:space="0"/>
                    <w:right w:val="single" w:color="auto" w:sz="4" w:space="0"/>
                  </w:tcBorders>
                  <w:vAlign w:val="center"/>
                </w:tcPr>
                <w:p>
                  <w:pPr>
                    <w:spacing w:line="400" w:lineRule="exact"/>
                    <w:rPr>
                      <w:rFonts w:ascii="宋体" w:hAnsi="宋体"/>
                      <w:color w:val="000000"/>
                      <w:sz w:val="21"/>
                      <w:szCs w:val="21"/>
                    </w:rPr>
                  </w:pP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固体废弃物有效处理率为100%；</w:t>
                  </w:r>
                </w:p>
              </w:tc>
              <w:tc>
                <w:tcPr>
                  <w:tcW w:w="3075"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rPr>
                      <w:rFonts w:ascii="宋体" w:hAnsi="宋体"/>
                      <w:color w:val="000000"/>
                      <w:sz w:val="21"/>
                      <w:szCs w:val="21"/>
                    </w:rPr>
                  </w:pPr>
                  <w:r>
                    <w:rPr>
                      <w:rFonts w:hint="eastAsia" w:ascii="宋体" w:hAnsi="宋体"/>
                      <w:color w:val="000000"/>
                      <w:sz w:val="21"/>
                      <w:szCs w:val="21"/>
                    </w:rPr>
                    <w:t>按规定处理次数/处理总次数</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jc w:val="left"/>
                    <w:rPr>
                      <w:rFonts w:ascii="楷体_GB2312" w:hAnsi="宋体" w:eastAsia="楷体_GB2312"/>
                      <w:bCs/>
                      <w:color w:val="000000"/>
                      <w:sz w:val="21"/>
                      <w:szCs w:val="21"/>
                    </w:rPr>
                  </w:pPr>
                  <w:r>
                    <w:rPr>
                      <w:rFonts w:hint="eastAsia" w:ascii="楷体_GB2312" w:hAnsi="宋体" w:eastAsia="楷体_GB2312"/>
                      <w:bCs/>
                      <w:color w:val="000000"/>
                      <w:sz w:val="21"/>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 w:hRule="atLeast"/>
                <w:tblHeader/>
                <w:jc w:val="center"/>
              </w:trPr>
              <w:tc>
                <w:tcPr>
                  <w:tcW w:w="1018" w:type="dxa"/>
                  <w:vMerge w:val="continue"/>
                  <w:tcBorders>
                    <w:left w:val="single" w:color="auto" w:sz="4" w:space="0"/>
                    <w:right w:val="single" w:color="auto" w:sz="4" w:space="0"/>
                  </w:tcBorders>
                  <w:vAlign w:val="center"/>
                </w:tcPr>
                <w:p>
                  <w:pPr>
                    <w:spacing w:line="400" w:lineRule="exact"/>
                    <w:rPr>
                      <w:rFonts w:ascii="宋体" w:hAnsi="宋体"/>
                      <w:color w:val="000000"/>
                      <w:sz w:val="21"/>
                      <w:szCs w:val="21"/>
                    </w:rPr>
                  </w:pPr>
                </w:p>
              </w:tc>
              <w:tc>
                <w:tcPr>
                  <w:tcW w:w="3523" w:type="dxa"/>
                  <w:tcBorders>
                    <w:top w:val="single" w:color="auto" w:sz="4" w:space="0"/>
                    <w:left w:val="single" w:color="auto" w:sz="4" w:space="0"/>
                    <w:bottom w:val="single" w:color="auto" w:sz="4" w:space="0"/>
                    <w:right w:val="single" w:color="auto" w:sz="4" w:space="0"/>
                  </w:tcBorders>
                  <w:vAlign w:val="center"/>
                </w:tcPr>
                <w:p>
                  <w:pPr>
                    <w:tabs>
                      <w:tab w:val="left" w:pos="700"/>
                      <w:tab w:val="left" w:pos="2032"/>
                    </w:tabs>
                    <w:spacing w:line="400" w:lineRule="exact"/>
                    <w:rPr>
                      <w:rFonts w:ascii="宋体" w:hAnsi="宋体"/>
                      <w:color w:val="000000"/>
                      <w:sz w:val="21"/>
                      <w:szCs w:val="21"/>
                    </w:rPr>
                  </w:pPr>
                  <w:r>
                    <w:rPr>
                      <w:rFonts w:ascii="宋体" w:hAnsi="宋体"/>
                      <w:color w:val="000000"/>
                      <w:sz w:val="21"/>
                      <w:szCs w:val="21"/>
                    </w:rPr>
                    <w:t>无环境污染投诉事故</w:t>
                  </w:r>
                </w:p>
              </w:tc>
              <w:tc>
                <w:tcPr>
                  <w:tcW w:w="3075"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rPr>
                      <w:rFonts w:ascii="宋体" w:hAnsi="宋体"/>
                      <w:color w:val="000000"/>
                      <w:sz w:val="21"/>
                      <w:szCs w:val="21"/>
                    </w:rPr>
                  </w:pPr>
                  <w:r>
                    <w:rPr>
                      <w:rFonts w:hint="eastAsia" w:ascii="宋体" w:hAnsi="宋体"/>
                      <w:color w:val="000000"/>
                      <w:sz w:val="21"/>
                      <w:szCs w:val="21"/>
                    </w:rPr>
                    <w:t>环境投诉事故次数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楷体_GB2312" w:hAnsi="宋体" w:eastAsia="楷体_GB2312"/>
                      <w:bCs/>
                      <w:color w:val="000000"/>
                      <w:sz w:val="21"/>
                      <w:szCs w:val="21"/>
                    </w:rPr>
                  </w:pPr>
                  <w:r>
                    <w:rPr>
                      <w:rFonts w:hint="eastAsia" w:ascii="楷体_GB2312" w:hAnsi="宋体" w:eastAsia="楷体_GB2312"/>
                      <w:bCs/>
                      <w:color w:val="000000"/>
                      <w:sz w:val="21"/>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blHeader/>
                <w:jc w:val="center"/>
              </w:trPr>
              <w:tc>
                <w:tcPr>
                  <w:tcW w:w="1018" w:type="dxa"/>
                  <w:vMerge w:val="continue"/>
                  <w:tcBorders>
                    <w:left w:val="single" w:color="auto" w:sz="4" w:space="0"/>
                    <w:right w:val="single" w:color="auto" w:sz="4" w:space="0"/>
                  </w:tcBorders>
                  <w:vAlign w:val="center"/>
                </w:tcPr>
                <w:p>
                  <w:pPr>
                    <w:spacing w:line="400" w:lineRule="exact"/>
                    <w:rPr>
                      <w:rFonts w:ascii="宋体" w:hAnsi="宋体"/>
                      <w:color w:val="000000"/>
                      <w:sz w:val="21"/>
                      <w:szCs w:val="21"/>
                    </w:rPr>
                  </w:pP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无火灾事故</w:t>
                  </w:r>
                </w:p>
              </w:tc>
              <w:tc>
                <w:tcPr>
                  <w:tcW w:w="30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火灾次数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楷体_GB2312" w:hAnsi="宋体" w:eastAsia="楷体_GB2312"/>
                      <w:bCs/>
                      <w:color w:val="000000"/>
                      <w:sz w:val="21"/>
                      <w:szCs w:val="21"/>
                    </w:rPr>
                  </w:pPr>
                  <w:r>
                    <w:rPr>
                      <w:rFonts w:ascii="楷体_GB2312" w:hAnsi="宋体" w:eastAsia="楷体_GB2312"/>
                      <w:bCs/>
                      <w:color w:val="000000"/>
                      <w:sz w:val="21"/>
                      <w:szCs w:val="21"/>
                    </w:rPr>
                    <w:t>无</w:t>
                  </w:r>
                </w:p>
              </w:tc>
            </w:tr>
          </w:tbl>
          <w:p>
            <w:pPr>
              <w:pStyle w:val="3"/>
              <w:ind w:left="0" w:leftChars="0" w:firstLine="0" w:firstLineChars="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考核情况，20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日经查已完成。</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环境因素</w:t>
            </w:r>
          </w:p>
        </w:tc>
        <w:tc>
          <w:tcPr>
            <w:tcW w:w="1311" w:type="dxa"/>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E6.1.2</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提供了《环境因素识别与评价控制程序》，对环境因素的识别、评价结果、控制手段等做出了规定。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部门负责人介绍识别环境因素时考虑了三种时态，过去、现在和将来，三种状态，正常、异常和紧急，按照办公过程及生产过程等进行了辨识。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查《环境因素识别评价汇总表》，对本部门生产和办公等有关过程的环境因素。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常办公过程中的固废（废纸、废电池、灯管、墨盒）造成的土壤污染、水资源消耗、电能消耗、意外火灾引起的污染大气、生产过程（边角料排放、噪声排放、火灾、电能消耗、废气排放、废水排放）、设备维修（废弃丢弃、漏油）等环境因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重要环境因素清单》，公司涉及重要环境因素：设备噪声排放、生产过程中粉尘废气的产生、工作服、手套、工具、下脚料等固体废物的排放、生活和生产废水排放、化学品的泄漏、润滑油的跑冒滴漏、火灾事故的发生等，本部门涉及的重要环境因素：均有涉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TW"/>
              </w:rPr>
              <w:t>对于</w:t>
            </w:r>
            <w:r>
              <w:rPr>
                <w:rFonts w:hint="eastAsia" w:ascii="宋体" w:hAnsi="宋体" w:eastAsia="宋体" w:cs="宋体"/>
                <w:sz w:val="21"/>
                <w:szCs w:val="21"/>
              </w:rPr>
              <w:t>环境因素主要通过运行控制、管理方案、加装废气处理设施、应急准备与响应进行控制。</w:t>
            </w:r>
          </w:p>
          <w:p>
            <w:pPr>
              <w:spacing w:line="360" w:lineRule="auto"/>
              <w:rPr>
                <w:rFonts w:hint="eastAsia" w:ascii="宋体" w:hAnsi="宋体" w:eastAsia="宋体" w:cs="宋体"/>
                <w:sz w:val="21"/>
                <w:szCs w:val="21"/>
              </w:rPr>
            </w:pPr>
            <w:r>
              <w:rPr>
                <w:rFonts w:hint="eastAsia" w:ascii="宋体" w:hAnsi="宋体" w:eastAsia="宋体" w:cs="宋体"/>
                <w:sz w:val="21"/>
                <w:szCs w:val="21"/>
              </w:rPr>
              <w:t>生产部环境因素识别、评价基本符合标准要求。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运行控制</w:t>
            </w:r>
          </w:p>
        </w:tc>
        <w:tc>
          <w:tcPr>
            <w:tcW w:w="1311"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E8.1</w:t>
            </w:r>
          </w:p>
        </w:tc>
        <w:tc>
          <w:tcPr>
            <w:tcW w:w="10004" w:type="dxa"/>
          </w:tcPr>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编制与环境管理体系运行控制有关的文件有《环境管理控制程序》、《固体废弃物污染防治控制程序》、《废水污染防治控制程序》、《废气防治污染控制程序》、《噪声防治污染控制程序》、《能源资源管理控制程序》、《危险化学品管理控制程序》、《环保设备设施运行控制程序》、《应急预案》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1、废水管控：生产区设置旱厕，人工粪便由周边农户定期清掏用于周边耕地施肥，生活废水经化粪池简单处理后排入政府管网集中处理。</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2、废气管控：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涂漆工序废气，采用水性环氧防腐底漆涂漆工艺产生的有机废气通过负压真空管进入UV光氧催化净化器经初级过滤、活性炭吸附、UV光解净化后15米高排气筒排放。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中频炉经1台高效脉冲电炉专用布袋除尘器处理后经15m排气筒排放。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抛丸工序粉尘采用1台脉冲滤筒除尘器处理经15m排气筒排放。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经</w:t>
            </w:r>
            <w:r>
              <w:rPr>
                <w:rFonts w:hint="eastAsia" w:ascii="宋体" w:hAnsi="宋体" w:cs="宋体"/>
                <w:sz w:val="21"/>
                <w:szCs w:val="21"/>
                <w:lang w:val="en-US" w:eastAsia="zh-CN"/>
              </w:rPr>
              <w:t>监测</w:t>
            </w:r>
            <w:r>
              <w:rPr>
                <w:rFonts w:hint="eastAsia" w:ascii="宋体" w:hAnsi="宋体" w:eastAsia="宋体" w:cs="宋体"/>
                <w:sz w:val="21"/>
                <w:szCs w:val="21"/>
              </w:rPr>
              <w:t>无组织废气监测符合排放标准要求。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3、噪声管控：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生产过程产生的设备噪声，采取厂房内操作和选用低噪声的设备和工具并做消声和减振处理，同时加强设备的检查和维保，确保机械设备在正常工况下运行，经噪声监测达标排放。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4、固废管控：生产过程中主要为铁削和废品,回炉用铸件加工。铝削及废品生产部将其废弃物放置固定位置，积攒一定量后出售有处理能力的单位回收再利用。危险废物为车间含油抹布、废油桶、废切削液桶，采取集中收集定期回收的方式处理。</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5、能源资源管控：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生产过程注意节水、节电，人走关闭设备和照明开关，现场未发现有漏水和浪费电能的现象。</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6、产品生命周期的环境管控：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公司从工艺设计和采购产品时已考虑了产品的环保性（包括原材料），生产过程中，严格按照环保等管理制度实施，控制好辅助材料的用量，避免浪费，生命周期终了时钢材进行了回收再利用。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7、潜在火灾管控：公司生产车间和办公区域配备了灭火器。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8、按有关程序和要求通报供方和顾客，采用〈告知函〉方式通报。查到相关方告知书</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9、企业有起重机，查到了起重机的检验报告和合格证，均在有效期内，查到操作工证均在有效期内。见附件。</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10、现场观察运行控制：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现场巡视办公及生产区域配备有灭火器多个，各车间均配有灭火器。</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与车间熔炼、浇注、抛丸、涂</w:t>
            </w:r>
            <w:r>
              <w:rPr>
                <w:rFonts w:hint="eastAsia" w:ascii="宋体" w:hAnsi="宋体" w:eastAsia="宋体" w:cs="宋体"/>
                <w:sz w:val="21"/>
                <w:szCs w:val="21"/>
                <w:lang w:val="en-US" w:eastAsia="zh-CN"/>
              </w:rPr>
              <w:t>漆等</w:t>
            </w:r>
            <w:r>
              <w:rPr>
                <w:rFonts w:hint="eastAsia" w:ascii="宋体" w:hAnsi="宋体" w:eastAsia="宋体" w:cs="宋体"/>
                <w:sz w:val="21"/>
                <w:szCs w:val="21"/>
              </w:rPr>
              <w:t xml:space="preserve">岗位操作人员交流了解到，员工均接受过环保和职业健康安全相关知识的培训，包括应急预案及演练等，现场人员交流对机械伤害、防火、逃生均较为清楚、明确，了解本岗位的设备安全操作规程。 </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生产车间内现场设备和电线布线合理，电线均处于完好状态，设备有接地及保护装置，控制柜及漏电保护器状态良好。</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中频炉经1台高效脉冲电炉专用布袋除尘器处理后经15m排气筒排放。</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铸件打磨工序</w:t>
            </w:r>
            <w:r>
              <w:rPr>
                <w:rFonts w:hint="eastAsia" w:ascii="宋体" w:hAnsi="宋体" w:eastAsia="宋体" w:cs="宋体"/>
                <w:sz w:val="21"/>
                <w:szCs w:val="21"/>
              </w:rPr>
              <w:t>废</w:t>
            </w:r>
            <w:r>
              <w:rPr>
                <w:rFonts w:hint="eastAsia" w:ascii="宋体" w:hAnsi="宋体" w:eastAsia="宋体" w:cs="宋体"/>
                <w:sz w:val="21"/>
                <w:szCs w:val="21"/>
                <w:lang w:val="en-US" w:eastAsia="zh-CN"/>
              </w:rPr>
              <w:t>渣</w:t>
            </w:r>
            <w:r>
              <w:rPr>
                <w:rFonts w:hint="eastAsia" w:ascii="宋体" w:hAnsi="宋体" w:eastAsia="宋体" w:cs="宋体"/>
                <w:sz w:val="21"/>
                <w:szCs w:val="21"/>
              </w:rPr>
              <w:t>经</w:t>
            </w:r>
            <w:r>
              <w:rPr>
                <w:rFonts w:hint="eastAsia" w:ascii="宋体" w:hAnsi="宋体" w:eastAsia="宋体" w:cs="宋体"/>
                <w:sz w:val="21"/>
                <w:szCs w:val="21"/>
                <w:lang w:val="en-US" w:eastAsia="zh-CN"/>
              </w:rPr>
              <w:t>打磨抛光集尘器收集统一处理</w:t>
            </w:r>
            <w:r>
              <w:rPr>
                <w:rFonts w:hint="eastAsia" w:ascii="宋体" w:hAnsi="宋体" w:eastAsia="宋体" w:cs="宋体"/>
                <w:sz w:val="21"/>
                <w:szCs w:val="21"/>
              </w:rPr>
              <w:t>。</w:t>
            </w: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pStyle w:val="2"/>
              <w:rPr>
                <w:rFonts w:hint="eastAsia" w:ascii="宋体" w:hAnsi="宋体" w:eastAsia="宋体" w:cs="宋体"/>
                <w:sz w:val="21"/>
                <w:szCs w:val="21"/>
              </w:rPr>
            </w:pPr>
          </w:p>
          <w:p>
            <w:pPr>
              <w:pStyle w:val="3"/>
              <w:rPr>
                <w:rFonts w:hint="eastAsia"/>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62336" behindDoc="0" locked="0" layoutInCell="1" allowOverlap="1">
                  <wp:simplePos x="0" y="0"/>
                  <wp:positionH relativeFrom="column">
                    <wp:posOffset>3484245</wp:posOffset>
                  </wp:positionH>
                  <wp:positionV relativeFrom="paragraph">
                    <wp:posOffset>187325</wp:posOffset>
                  </wp:positionV>
                  <wp:extent cx="2378075" cy="3170555"/>
                  <wp:effectExtent l="0" t="0" r="9525" b="4445"/>
                  <wp:wrapNone/>
                  <wp:docPr id="10" name="图片 10" descr="f2f6db7916cdd70edfc66f87652d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2f6db7916cdd70edfc66f87652d669"/>
                          <pic:cNvPicPr>
                            <a:picLocks noChangeAspect="1"/>
                          </pic:cNvPicPr>
                        </pic:nvPicPr>
                        <pic:blipFill>
                          <a:blip r:embed="rId6"/>
                          <a:stretch>
                            <a:fillRect/>
                          </a:stretch>
                        </pic:blipFill>
                        <pic:spPr>
                          <a:xfrm>
                            <a:off x="0" y="0"/>
                            <a:ext cx="2378075" cy="3170555"/>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61312" behindDoc="0" locked="0" layoutInCell="1" allowOverlap="1">
                  <wp:simplePos x="0" y="0"/>
                  <wp:positionH relativeFrom="column">
                    <wp:posOffset>92075</wp:posOffset>
                  </wp:positionH>
                  <wp:positionV relativeFrom="paragraph">
                    <wp:posOffset>158115</wp:posOffset>
                  </wp:positionV>
                  <wp:extent cx="3099435" cy="3239135"/>
                  <wp:effectExtent l="0" t="0" r="12065" b="12065"/>
                  <wp:wrapNone/>
                  <wp:docPr id="9" name="图片 9" descr="2908a519ee5ba4331defe61445fe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08a519ee5ba4331defe61445fe515"/>
                          <pic:cNvPicPr>
                            <a:picLocks noChangeAspect="1"/>
                          </pic:cNvPicPr>
                        </pic:nvPicPr>
                        <pic:blipFill>
                          <a:blip r:embed="rId7"/>
                          <a:srcRect b="21636"/>
                          <a:stretch>
                            <a:fillRect/>
                          </a:stretch>
                        </pic:blipFill>
                        <pic:spPr>
                          <a:xfrm>
                            <a:off x="0" y="0"/>
                            <a:ext cx="3099435" cy="3239135"/>
                          </a:xfrm>
                          <a:prstGeom prst="rect">
                            <a:avLst/>
                          </a:prstGeom>
                        </pic:spPr>
                      </pic:pic>
                    </a:graphicData>
                  </a:graphic>
                </wp:anchor>
              </w:drawing>
            </w: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lang w:eastAsia="zh-CN"/>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rPr>
                <w:rFonts w:hint="eastAsia" w:ascii="宋体" w:hAnsi="宋体" w:eastAsia="宋体" w:cs="宋体"/>
                <w:sz w:val="21"/>
                <w:szCs w:val="21"/>
                <w:lang w:eastAsia="zh-CN"/>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lang w:eastAsia="zh-CN"/>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r>
              <w:rPr>
                <w:rFonts w:hint="eastAsia" w:ascii="宋体" w:hAnsi="宋体" w:eastAsia="宋体" w:cs="宋体"/>
                <w:sz w:val="21"/>
                <w:szCs w:val="21"/>
              </w:rPr>
              <w:t>抛丸工序粉尘采用1台脉冲滤筒除尘器处理经15m排气筒排放。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涂</w:t>
            </w:r>
            <w:r>
              <w:rPr>
                <w:rFonts w:hint="eastAsia" w:ascii="宋体" w:hAnsi="宋体" w:eastAsia="宋体" w:cs="宋体"/>
                <w:sz w:val="21"/>
                <w:szCs w:val="21"/>
              </w:rPr>
              <w:t>漆工序</w:t>
            </w:r>
            <w:r>
              <w:rPr>
                <w:rFonts w:hint="eastAsia" w:ascii="宋体" w:hAnsi="宋体" w:eastAsia="宋体" w:cs="宋体"/>
                <w:sz w:val="21"/>
                <w:szCs w:val="21"/>
                <w:lang w:val="en-US" w:eastAsia="zh-CN"/>
              </w:rPr>
              <w:t>的</w:t>
            </w:r>
            <w:r>
              <w:rPr>
                <w:rFonts w:hint="eastAsia" w:ascii="宋体" w:hAnsi="宋体" w:eastAsia="宋体" w:cs="宋体"/>
                <w:sz w:val="21"/>
                <w:szCs w:val="21"/>
              </w:rPr>
              <w:t>废气经集气管道收通过负压真空管进入UV光氧催化净化器经初级过滤、活性炭吸附、UV光解净化后15米高排气筒排放。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现场查看以上设施施运行正常。</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 xml:space="preserve">查环保设施点检记录，按时进行了保养点检， </w:t>
            </w:r>
          </w:p>
          <w:p>
            <w:pPr>
              <w:pStyle w:val="3"/>
              <w:ind w:left="0" w:leftChars="0" w:firstLine="0" w:firstLineChars="0"/>
              <w:rPr>
                <w:rFonts w:hint="default" w:ascii="宋体" w:hAnsi="宋体" w:eastAsia="宋体" w:cs="宋体"/>
                <w:sz w:val="21"/>
                <w:szCs w:val="21"/>
                <w:lang w:val="en-US" w:eastAsia="zh-CN"/>
              </w:rPr>
            </w:pPr>
            <w:bookmarkStart w:id="0" w:name="_GoBack"/>
            <w:bookmarkEnd w:id="0"/>
            <w:r>
              <w:rPr>
                <w:rFonts w:hint="eastAsia" w:ascii="宋体" w:hAnsi="宋体" w:cs="宋体"/>
                <w:sz w:val="21"/>
                <w:szCs w:val="21"/>
                <w:lang w:val="en-US" w:eastAsia="zh-CN"/>
              </w:rPr>
              <w:t>抽铸造车间、中频炉除尘设备运行记录</w:t>
            </w:r>
          </w:p>
          <w:p>
            <w:pPr>
              <w:pStyle w:val="3"/>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66432" behindDoc="0" locked="0" layoutInCell="1" allowOverlap="1">
                  <wp:simplePos x="0" y="0"/>
                  <wp:positionH relativeFrom="column">
                    <wp:posOffset>3165475</wp:posOffset>
                  </wp:positionH>
                  <wp:positionV relativeFrom="paragraph">
                    <wp:posOffset>135890</wp:posOffset>
                  </wp:positionV>
                  <wp:extent cx="3069590" cy="2542540"/>
                  <wp:effectExtent l="0" t="0" r="3810" b="10160"/>
                  <wp:wrapNone/>
                  <wp:docPr id="7" name="图片 7" descr="5f34835f78caafc0ad5161f99127d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f34835f78caafc0ad5161f99127d3c"/>
                          <pic:cNvPicPr>
                            <a:picLocks noChangeAspect="1"/>
                          </pic:cNvPicPr>
                        </pic:nvPicPr>
                        <pic:blipFill>
                          <a:blip r:embed="rId8"/>
                          <a:srcRect t="4085"/>
                          <a:stretch>
                            <a:fillRect/>
                          </a:stretch>
                        </pic:blipFill>
                        <pic:spPr>
                          <a:xfrm>
                            <a:off x="0" y="0"/>
                            <a:ext cx="3069590" cy="2542540"/>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65408" behindDoc="0" locked="0" layoutInCell="1" allowOverlap="1">
                  <wp:simplePos x="0" y="0"/>
                  <wp:positionH relativeFrom="column">
                    <wp:posOffset>163195</wp:posOffset>
                  </wp:positionH>
                  <wp:positionV relativeFrom="paragraph">
                    <wp:posOffset>134620</wp:posOffset>
                  </wp:positionV>
                  <wp:extent cx="2958465" cy="2317115"/>
                  <wp:effectExtent l="0" t="0" r="635" b="6985"/>
                  <wp:wrapNone/>
                  <wp:docPr id="6" name="图片 6" descr="71bffb9e61848cead4990d3b548c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1bffb9e61848cead4990d3b548c292"/>
                          <pic:cNvPicPr>
                            <a:picLocks noChangeAspect="1"/>
                          </pic:cNvPicPr>
                        </pic:nvPicPr>
                        <pic:blipFill>
                          <a:blip r:embed="rId9"/>
                          <a:stretch>
                            <a:fillRect/>
                          </a:stretch>
                        </pic:blipFill>
                        <pic:spPr>
                          <a:xfrm>
                            <a:off x="0" y="0"/>
                            <a:ext cx="2958465" cy="2317115"/>
                          </a:xfrm>
                          <a:prstGeom prst="rect">
                            <a:avLst/>
                          </a:prstGeom>
                        </pic:spPr>
                      </pic:pic>
                    </a:graphicData>
                  </a:graphic>
                </wp:anchor>
              </w:drawing>
            </w: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lang w:eastAsia="zh-CN"/>
              </w:rPr>
            </w:pPr>
          </w:p>
          <w:p>
            <w:pPr>
              <w:pStyle w:val="3"/>
              <w:rPr>
                <w:rFonts w:hint="eastAsia" w:ascii="宋体" w:hAnsi="宋体" w:eastAsia="宋体" w:cs="宋体"/>
                <w:sz w:val="21"/>
                <w:szCs w:val="21"/>
                <w:lang w:eastAsia="zh-CN"/>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ind w:left="0" w:leftChars="0"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抽油漆房环境设备2021.7月、8月运行记录</w:t>
            </w:r>
          </w:p>
          <w:p>
            <w:pPr>
              <w:pStyle w:val="2"/>
              <w:spacing w:line="360" w:lineRule="auto"/>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63360" behindDoc="0" locked="0" layoutInCell="1" allowOverlap="1">
                  <wp:simplePos x="0" y="0"/>
                  <wp:positionH relativeFrom="column">
                    <wp:posOffset>3103880</wp:posOffset>
                  </wp:positionH>
                  <wp:positionV relativeFrom="paragraph">
                    <wp:posOffset>29210</wp:posOffset>
                  </wp:positionV>
                  <wp:extent cx="2757805" cy="2173605"/>
                  <wp:effectExtent l="0" t="0" r="10795" b="10795"/>
                  <wp:wrapNone/>
                  <wp:docPr id="3" name="图片 3" descr="80a497fe6bd2ab901609dd5d4622c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a497fe6bd2ab901609dd5d4622c9b"/>
                          <pic:cNvPicPr>
                            <a:picLocks noChangeAspect="1"/>
                          </pic:cNvPicPr>
                        </pic:nvPicPr>
                        <pic:blipFill>
                          <a:blip r:embed="rId10"/>
                          <a:srcRect t="4045" r="4853"/>
                          <a:stretch>
                            <a:fillRect/>
                          </a:stretch>
                        </pic:blipFill>
                        <pic:spPr>
                          <a:xfrm>
                            <a:off x="0" y="0"/>
                            <a:ext cx="2757805" cy="2173605"/>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64384" behindDoc="0" locked="0" layoutInCell="1" allowOverlap="1">
                  <wp:simplePos x="0" y="0"/>
                  <wp:positionH relativeFrom="column">
                    <wp:posOffset>468630</wp:posOffset>
                  </wp:positionH>
                  <wp:positionV relativeFrom="paragraph">
                    <wp:posOffset>-284480</wp:posOffset>
                  </wp:positionV>
                  <wp:extent cx="2144395" cy="2792095"/>
                  <wp:effectExtent l="0" t="0" r="1905" b="1905"/>
                  <wp:wrapNone/>
                  <wp:docPr id="4" name="图片 4" descr="2552d7e85200aa248f50039da6aad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552d7e85200aa248f50039da6aad82"/>
                          <pic:cNvPicPr>
                            <a:picLocks noChangeAspect="1"/>
                          </pic:cNvPicPr>
                        </pic:nvPicPr>
                        <pic:blipFill>
                          <a:blip r:embed="rId11"/>
                          <a:srcRect l="5872" r="4243" b="6364"/>
                          <a:stretch>
                            <a:fillRect/>
                          </a:stretch>
                        </pic:blipFill>
                        <pic:spPr>
                          <a:xfrm rot="16200000">
                            <a:off x="0" y="0"/>
                            <a:ext cx="2144395" cy="2792095"/>
                          </a:xfrm>
                          <a:prstGeom prst="rect">
                            <a:avLst/>
                          </a:prstGeom>
                        </pic:spPr>
                      </pic:pic>
                    </a:graphicData>
                  </a:graphic>
                </wp:anchor>
              </w:drawing>
            </w:r>
          </w:p>
          <w:p>
            <w:pPr>
              <w:pStyle w:val="3"/>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lang w:eastAsia="zh-CN"/>
              </w:rPr>
            </w:pPr>
          </w:p>
          <w:p>
            <w:pPr>
              <w:pStyle w:val="3"/>
              <w:spacing w:line="360" w:lineRule="auto"/>
              <w:rPr>
                <w:rFonts w:hint="eastAsia" w:ascii="宋体" w:hAnsi="宋体" w:eastAsia="宋体" w:cs="宋体"/>
                <w:sz w:val="21"/>
                <w:szCs w:val="21"/>
                <w:lang w:eastAsia="zh-CN"/>
              </w:rPr>
            </w:pPr>
          </w:p>
          <w:p>
            <w:pPr>
              <w:pStyle w:val="3"/>
              <w:spacing w:line="360" w:lineRule="auto"/>
              <w:rPr>
                <w:rFonts w:hint="eastAsia" w:ascii="宋体" w:hAnsi="宋体" w:eastAsia="宋体" w:cs="宋体"/>
                <w:sz w:val="21"/>
                <w:szCs w:val="21"/>
                <w:lang w:eastAsia="zh-CN"/>
              </w:rPr>
            </w:pPr>
          </w:p>
          <w:p>
            <w:pPr>
              <w:pStyle w:val="3"/>
              <w:spacing w:line="360" w:lineRule="auto"/>
              <w:rPr>
                <w:rFonts w:hint="eastAsia" w:ascii="宋体" w:hAnsi="宋体" w:eastAsia="宋体" w:cs="宋体"/>
                <w:sz w:val="21"/>
                <w:szCs w:val="21"/>
              </w:rPr>
            </w:pPr>
          </w:p>
          <w:p>
            <w:pPr>
              <w:pStyle w:val="3"/>
              <w:spacing w:line="360" w:lineRule="auto"/>
              <w:ind w:left="0" w:leftChars="0" w:firstLine="0" w:firstLineChars="0"/>
              <w:rPr>
                <w:rFonts w:hint="eastAsia" w:ascii="宋体" w:hAnsi="宋体" w:eastAsia="宋体" w:cs="宋体"/>
                <w:sz w:val="21"/>
                <w:szCs w:val="21"/>
              </w:rPr>
            </w:pP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车间噪声主要为设备运行噪声，属于间歇性噪声。根据现场勘查，</w:t>
            </w:r>
            <w:r>
              <w:rPr>
                <w:rFonts w:hint="eastAsia" w:ascii="宋体" w:hAnsi="宋体" w:eastAsia="宋体" w:cs="宋体"/>
                <w:sz w:val="21"/>
                <w:szCs w:val="21"/>
                <w:lang w:val="en-US" w:eastAsia="zh-CN"/>
              </w:rPr>
              <w:t>产品加工</w:t>
            </w:r>
            <w:r>
              <w:rPr>
                <w:rFonts w:hint="eastAsia" w:ascii="宋体" w:hAnsi="宋体" w:eastAsia="宋体" w:cs="宋体"/>
                <w:sz w:val="21"/>
                <w:szCs w:val="21"/>
              </w:rPr>
              <w:t>所有生产设备均位于室内，厂房基本为封闭状态，机械加工车间设备基本都采取了基础减振措施，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噪声污染防治措施现状基本满足环保要求。</w:t>
            </w:r>
          </w:p>
          <w:p>
            <w:pPr>
              <w:pStyle w:val="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2021年对危废库房进行了改造，</w:t>
            </w:r>
          </w:p>
          <w:p>
            <w:pPr>
              <w:pStyle w:val="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8480" behindDoc="0" locked="0" layoutInCell="1" allowOverlap="1">
                  <wp:simplePos x="0" y="0"/>
                  <wp:positionH relativeFrom="column">
                    <wp:posOffset>3159125</wp:posOffset>
                  </wp:positionH>
                  <wp:positionV relativeFrom="paragraph">
                    <wp:posOffset>183515</wp:posOffset>
                  </wp:positionV>
                  <wp:extent cx="3002915" cy="2252345"/>
                  <wp:effectExtent l="0" t="0" r="6985" b="8255"/>
                  <wp:wrapNone/>
                  <wp:docPr id="11" name="图片 11" descr="4eb806d1b987979aabc31abeffa7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eb806d1b987979aabc31abeffa7ed6"/>
                          <pic:cNvPicPr>
                            <a:picLocks noChangeAspect="1"/>
                          </pic:cNvPicPr>
                        </pic:nvPicPr>
                        <pic:blipFill>
                          <a:blip r:embed="rId12"/>
                          <a:stretch>
                            <a:fillRect/>
                          </a:stretch>
                        </pic:blipFill>
                        <pic:spPr>
                          <a:xfrm>
                            <a:off x="0" y="0"/>
                            <a:ext cx="3002915" cy="2252345"/>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667456" behindDoc="0" locked="0" layoutInCell="1" allowOverlap="1">
                  <wp:simplePos x="0" y="0"/>
                  <wp:positionH relativeFrom="column">
                    <wp:posOffset>8255</wp:posOffset>
                  </wp:positionH>
                  <wp:positionV relativeFrom="paragraph">
                    <wp:posOffset>170180</wp:posOffset>
                  </wp:positionV>
                  <wp:extent cx="3136900" cy="2352675"/>
                  <wp:effectExtent l="0" t="0" r="0" b="9525"/>
                  <wp:wrapNone/>
                  <wp:docPr id="8" name="图片 8" descr="15ff4683ecebcaaed6494d6faa8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ff4683ecebcaaed6494d6faa82950"/>
                          <pic:cNvPicPr>
                            <a:picLocks noChangeAspect="1"/>
                          </pic:cNvPicPr>
                        </pic:nvPicPr>
                        <pic:blipFill>
                          <a:blip r:embed="rId13"/>
                          <a:stretch>
                            <a:fillRect/>
                          </a:stretch>
                        </pic:blipFill>
                        <pic:spPr>
                          <a:xfrm>
                            <a:off x="0" y="0"/>
                            <a:ext cx="3136900" cy="2352675"/>
                          </a:xfrm>
                          <a:prstGeom prst="rect">
                            <a:avLst/>
                          </a:prstGeom>
                        </pic:spPr>
                      </pic:pic>
                    </a:graphicData>
                  </a:graphic>
                </wp:anchor>
              </w:drawing>
            </w: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default" w:ascii="宋体" w:hAnsi="宋体" w:eastAsia="宋体" w:cs="宋体"/>
                <w:sz w:val="21"/>
                <w:szCs w:val="21"/>
                <w:lang w:val="en-US" w:eastAsia="zh-CN"/>
              </w:rPr>
            </w:pPr>
          </w:p>
          <w:p>
            <w:pPr>
              <w:spacing w:line="360" w:lineRule="auto"/>
              <w:ind w:firstLine="315" w:firstLineChars="150"/>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车间内未发现危险废物。</w:t>
            </w:r>
          </w:p>
          <w:p>
            <w:pPr>
              <w:spacing w:line="360" w:lineRule="auto"/>
              <w:ind w:firstLine="315" w:firstLineChars="150"/>
              <w:rPr>
                <w:rFonts w:hint="eastAsia" w:ascii="宋体" w:hAnsi="宋体" w:eastAsia="宋体" w:cs="宋体"/>
                <w:b/>
                <w:bCs/>
                <w:sz w:val="21"/>
                <w:szCs w:val="21"/>
              </w:rPr>
            </w:pPr>
            <w:r>
              <w:rPr>
                <w:rFonts w:hint="eastAsia" w:ascii="宋体" w:hAnsi="宋体" w:eastAsia="宋体" w:cs="宋体"/>
                <w:sz w:val="21"/>
                <w:szCs w:val="21"/>
              </w:rPr>
              <w:t>环保运行控制满足要求</w:t>
            </w:r>
            <w:r>
              <w:rPr>
                <w:rFonts w:hint="eastAsia" w:ascii="宋体" w:hAnsi="宋体" w:eastAsia="宋体" w:cs="宋体"/>
                <w:sz w:val="21"/>
                <w:szCs w:val="21"/>
                <w:lang w:eastAsia="zh-CN"/>
              </w:rPr>
              <w:t>，</w:t>
            </w:r>
            <w:r>
              <w:rPr>
                <w:rFonts w:hint="eastAsia" w:ascii="宋体" w:hAnsi="宋体" w:eastAsia="宋体" w:cs="宋体"/>
                <w:sz w:val="21"/>
                <w:szCs w:val="21"/>
              </w:rPr>
              <w:t>车间现场在环保方面的控制管理基本有效。</w:t>
            </w:r>
          </w:p>
        </w:tc>
        <w:tc>
          <w:tcPr>
            <w:tcW w:w="1585" w:type="dxa"/>
          </w:tcPr>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应急准备和相应</w:t>
            </w:r>
          </w:p>
        </w:tc>
        <w:tc>
          <w:tcPr>
            <w:tcW w:w="1311"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E8.2</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生产部按照策划的《应急准备和响应控制程序程序》《消防安全应急预案》等，明确了相应的运行准则。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生产过程中加强用电安全，防止触电事故和火灾事故的发生，安装了漏电保护器。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现场查看生产车间和办公区域有灭火器，在有效期内</w:t>
            </w:r>
            <w:r>
              <w:rPr>
                <w:rFonts w:hint="eastAsia" w:ascii="宋体" w:hAnsi="宋体" w:cs="宋体"/>
                <w:sz w:val="21"/>
                <w:szCs w:val="21"/>
                <w:lang w:eastAsia="zh-CN"/>
              </w:rPr>
              <w:t>，</w:t>
            </w:r>
            <w:r>
              <w:rPr>
                <w:rFonts w:hint="eastAsia" w:ascii="宋体" w:hAnsi="宋体" w:cs="宋体"/>
                <w:sz w:val="21"/>
                <w:szCs w:val="21"/>
                <w:lang w:val="en-US" w:eastAsia="zh-CN"/>
              </w:rPr>
              <w:t>但不能提供消防器材检查记录，不符合要求。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生产现场有“禁止吸烟”， 等环保、安全警示标识。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rPr>
              <w:t>20</w:t>
            </w:r>
            <w:r>
              <w:rPr>
                <w:rFonts w:hint="eastAsia"/>
                <w:lang w:val="en-US" w:eastAsia="zh-CN"/>
              </w:rPr>
              <w:t>21</w:t>
            </w:r>
            <w:r>
              <w:rPr>
                <w:rFonts w:hint="eastAsia"/>
              </w:rPr>
              <w:t>.</w:t>
            </w:r>
            <w:r>
              <w:rPr>
                <w:rFonts w:hint="eastAsia"/>
                <w:lang w:val="en-US" w:eastAsia="zh-CN"/>
              </w:rPr>
              <w:t>5.20</w:t>
            </w:r>
            <w:r>
              <w:rPr>
                <w:rFonts w:hint="eastAsia"/>
              </w:rPr>
              <w:t>日</w:t>
            </w:r>
            <w:r>
              <w:rPr>
                <w:rFonts w:hint="eastAsia" w:ascii="宋体" w:hAnsi="宋体" w:eastAsia="宋体" w:cs="宋体"/>
                <w:sz w:val="21"/>
                <w:szCs w:val="21"/>
              </w:rPr>
              <w:t>参加了总公司组织的消防应急预案演练。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自体系运行以来未出现应急事故情况。</w:t>
            </w:r>
          </w:p>
        </w:tc>
        <w:tc>
          <w:tcPr>
            <w:tcW w:w="1585" w:type="dxa"/>
          </w:tcPr>
          <w:p>
            <w:pPr>
              <w:spacing w:line="360" w:lineRule="auto"/>
              <w:rPr>
                <w:rFonts w:hint="eastAsia" w:ascii="宋体" w:hAnsi="宋体" w:eastAsia="宋体" w:cs="宋体"/>
                <w:sz w:val="21"/>
                <w:szCs w:val="21"/>
              </w:rPr>
            </w:pPr>
          </w:p>
          <w:p>
            <w:pPr>
              <w:pStyle w:val="2"/>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lang w:val="en-US" w:eastAsia="zh-CN"/>
              </w:rPr>
            </w:pPr>
          </w:p>
          <w:p>
            <w:pPr>
              <w:pStyle w:val="3"/>
              <w:spacing w:line="360" w:lineRule="auto"/>
              <w:rPr>
                <w:rFonts w:hint="eastAsia" w:ascii="宋体" w:hAnsi="宋体" w:eastAsia="宋体" w:cs="宋体"/>
                <w:sz w:val="21"/>
                <w:szCs w:val="21"/>
                <w:lang w:val="en-US" w:eastAsia="zh-CN"/>
              </w:rPr>
            </w:pPr>
          </w:p>
          <w:p>
            <w:pPr>
              <w:pStyle w:val="3"/>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809" w:type="dxa"/>
          </w:tcPr>
          <w:p>
            <w:pPr>
              <w:spacing w:line="360" w:lineRule="auto"/>
              <w:rPr>
                <w:rFonts w:hint="eastAsia" w:ascii="宋体" w:hAnsi="宋体" w:eastAsia="宋体" w:cs="宋体"/>
                <w:sz w:val="21"/>
                <w:szCs w:val="21"/>
              </w:rPr>
            </w:pPr>
          </w:p>
        </w:tc>
        <w:tc>
          <w:tcPr>
            <w:tcW w:w="1311" w:type="dxa"/>
          </w:tcPr>
          <w:p>
            <w:pPr>
              <w:spacing w:line="360" w:lineRule="auto"/>
              <w:rPr>
                <w:rFonts w:hint="eastAsia" w:ascii="宋体" w:hAnsi="宋体" w:eastAsia="宋体" w:cs="宋体"/>
                <w:sz w:val="21"/>
                <w:szCs w:val="21"/>
              </w:rPr>
            </w:pPr>
          </w:p>
        </w:tc>
        <w:tc>
          <w:tcPr>
            <w:tcW w:w="10004" w:type="dxa"/>
          </w:tcPr>
          <w:p>
            <w:pPr>
              <w:spacing w:line="360" w:lineRule="auto"/>
              <w:ind w:firstLine="420" w:firstLineChars="200"/>
              <w:rPr>
                <w:rFonts w:hint="eastAsia" w:ascii="宋体" w:hAnsi="宋体" w:eastAsia="宋体" w:cs="宋体"/>
                <w:sz w:val="21"/>
                <w:szCs w:val="21"/>
              </w:rPr>
            </w:pPr>
          </w:p>
        </w:tc>
        <w:tc>
          <w:tcPr>
            <w:tcW w:w="1585" w:type="dxa"/>
          </w:tcPr>
          <w:p>
            <w:pPr>
              <w:spacing w:line="360" w:lineRule="auto"/>
              <w:rPr>
                <w:rFonts w:hint="eastAsia" w:ascii="宋体" w:hAnsi="宋体" w:eastAsia="宋体" w:cs="宋体"/>
                <w:sz w:val="21"/>
                <w:szCs w:val="21"/>
              </w:rPr>
            </w:pPr>
          </w:p>
        </w:tc>
      </w:tr>
    </w:tbl>
    <w:p>
      <w:pPr>
        <w:spacing w:line="360" w:lineRule="auto"/>
        <w:rPr>
          <w:rFonts w:ascii="楷体" w:hAnsi="楷体" w:eastAsia="楷体"/>
        </w:rPr>
      </w:pPr>
      <w:r>
        <w:rPr>
          <w:rFonts w:ascii="楷体" w:hAnsi="楷体" w:eastAsia="楷体"/>
        </w:rPr>
        <w:ptab w:relativeTo="margin" w:alignment="center" w:leader="none"/>
      </w:r>
    </w:p>
    <w:p>
      <w:pPr>
        <w:spacing w:line="360" w:lineRule="auto"/>
        <w:rPr>
          <w:rFonts w:ascii="楷体" w:hAnsi="楷体" w:eastAsia="楷体"/>
        </w:rPr>
      </w:pPr>
    </w:p>
    <w:p>
      <w:pPr>
        <w:pStyle w:val="5"/>
        <w:spacing w:line="360" w:lineRule="auto"/>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2A2"/>
    <w:rsid w:val="00010B05"/>
    <w:rsid w:val="00020CA6"/>
    <w:rsid w:val="000214B6"/>
    <w:rsid w:val="00032462"/>
    <w:rsid w:val="0003373A"/>
    <w:rsid w:val="000421F8"/>
    <w:rsid w:val="00050B17"/>
    <w:rsid w:val="0005199E"/>
    <w:rsid w:val="000557D8"/>
    <w:rsid w:val="0005697E"/>
    <w:rsid w:val="00061925"/>
    <w:rsid w:val="00062EC3"/>
    <w:rsid w:val="00081821"/>
    <w:rsid w:val="00084276"/>
    <w:rsid w:val="000849D2"/>
    <w:rsid w:val="000A5E44"/>
    <w:rsid w:val="000A6DBB"/>
    <w:rsid w:val="000B1394"/>
    <w:rsid w:val="000B13C1"/>
    <w:rsid w:val="000B40BD"/>
    <w:rsid w:val="000C123B"/>
    <w:rsid w:val="000D0422"/>
    <w:rsid w:val="000E2B69"/>
    <w:rsid w:val="000E43EE"/>
    <w:rsid w:val="000F0B40"/>
    <w:rsid w:val="000F35F1"/>
    <w:rsid w:val="000F49B5"/>
    <w:rsid w:val="00102221"/>
    <w:rsid w:val="001027A6"/>
    <w:rsid w:val="00102C0C"/>
    <w:rsid w:val="001037D5"/>
    <w:rsid w:val="00127276"/>
    <w:rsid w:val="00133A9E"/>
    <w:rsid w:val="00133F17"/>
    <w:rsid w:val="00160177"/>
    <w:rsid w:val="00162423"/>
    <w:rsid w:val="00164832"/>
    <w:rsid w:val="00171246"/>
    <w:rsid w:val="00183D2D"/>
    <w:rsid w:val="00186785"/>
    <w:rsid w:val="00191AFC"/>
    <w:rsid w:val="00194BAF"/>
    <w:rsid w:val="0019749C"/>
    <w:rsid w:val="001A2D7F"/>
    <w:rsid w:val="001A3DF8"/>
    <w:rsid w:val="001A4802"/>
    <w:rsid w:val="001C1344"/>
    <w:rsid w:val="001C345C"/>
    <w:rsid w:val="001C5C73"/>
    <w:rsid w:val="001C5C87"/>
    <w:rsid w:val="001D0C70"/>
    <w:rsid w:val="00206BE5"/>
    <w:rsid w:val="00214671"/>
    <w:rsid w:val="00222532"/>
    <w:rsid w:val="00234803"/>
    <w:rsid w:val="00237445"/>
    <w:rsid w:val="00241B7D"/>
    <w:rsid w:val="002673C1"/>
    <w:rsid w:val="0028271B"/>
    <w:rsid w:val="002926AE"/>
    <w:rsid w:val="00295B8A"/>
    <w:rsid w:val="002A0E6E"/>
    <w:rsid w:val="002A1B7E"/>
    <w:rsid w:val="002A7679"/>
    <w:rsid w:val="002B018A"/>
    <w:rsid w:val="002C3E0D"/>
    <w:rsid w:val="002D41FB"/>
    <w:rsid w:val="002D46B3"/>
    <w:rsid w:val="002E09DF"/>
    <w:rsid w:val="002E1E1D"/>
    <w:rsid w:val="002E1F5A"/>
    <w:rsid w:val="002F4DA9"/>
    <w:rsid w:val="003015A0"/>
    <w:rsid w:val="003046BD"/>
    <w:rsid w:val="003358F7"/>
    <w:rsid w:val="003370D7"/>
    <w:rsid w:val="00337922"/>
    <w:rsid w:val="00340867"/>
    <w:rsid w:val="00342857"/>
    <w:rsid w:val="00355472"/>
    <w:rsid w:val="00361197"/>
    <w:rsid w:val="003627B6"/>
    <w:rsid w:val="003655B1"/>
    <w:rsid w:val="003708D5"/>
    <w:rsid w:val="00380837"/>
    <w:rsid w:val="00381A3A"/>
    <w:rsid w:val="003836CA"/>
    <w:rsid w:val="00386A98"/>
    <w:rsid w:val="003B712F"/>
    <w:rsid w:val="003D6BE3"/>
    <w:rsid w:val="003F20A5"/>
    <w:rsid w:val="004012E9"/>
    <w:rsid w:val="00405D5F"/>
    <w:rsid w:val="00410914"/>
    <w:rsid w:val="00425E89"/>
    <w:rsid w:val="00432436"/>
    <w:rsid w:val="0043494E"/>
    <w:rsid w:val="00453CC3"/>
    <w:rsid w:val="00463775"/>
    <w:rsid w:val="00465FE1"/>
    <w:rsid w:val="00475FEA"/>
    <w:rsid w:val="004772FA"/>
    <w:rsid w:val="00483C7A"/>
    <w:rsid w:val="00491735"/>
    <w:rsid w:val="00492096"/>
    <w:rsid w:val="004A368C"/>
    <w:rsid w:val="004B217F"/>
    <w:rsid w:val="004B5E36"/>
    <w:rsid w:val="004C07FE"/>
    <w:rsid w:val="004E4394"/>
    <w:rsid w:val="004E4AA7"/>
    <w:rsid w:val="00500FC6"/>
    <w:rsid w:val="00513D49"/>
    <w:rsid w:val="00521CF0"/>
    <w:rsid w:val="00533E7D"/>
    <w:rsid w:val="00536930"/>
    <w:rsid w:val="00536EB7"/>
    <w:rsid w:val="00544570"/>
    <w:rsid w:val="00555215"/>
    <w:rsid w:val="00564E53"/>
    <w:rsid w:val="00570D1C"/>
    <w:rsid w:val="00583277"/>
    <w:rsid w:val="00592C3E"/>
    <w:rsid w:val="005A000F"/>
    <w:rsid w:val="005B0413"/>
    <w:rsid w:val="005B6888"/>
    <w:rsid w:val="005C1225"/>
    <w:rsid w:val="005D76D0"/>
    <w:rsid w:val="005E489C"/>
    <w:rsid w:val="005F1B92"/>
    <w:rsid w:val="005F3411"/>
    <w:rsid w:val="005F6C65"/>
    <w:rsid w:val="005F7730"/>
    <w:rsid w:val="00600F02"/>
    <w:rsid w:val="00603024"/>
    <w:rsid w:val="0060444D"/>
    <w:rsid w:val="00611DAE"/>
    <w:rsid w:val="00623D43"/>
    <w:rsid w:val="00634439"/>
    <w:rsid w:val="00642776"/>
    <w:rsid w:val="00644FE2"/>
    <w:rsid w:val="00645FB8"/>
    <w:rsid w:val="00646B24"/>
    <w:rsid w:val="00651986"/>
    <w:rsid w:val="006545E8"/>
    <w:rsid w:val="00664CAA"/>
    <w:rsid w:val="00665980"/>
    <w:rsid w:val="006702AA"/>
    <w:rsid w:val="0067640C"/>
    <w:rsid w:val="00684534"/>
    <w:rsid w:val="00692C4C"/>
    <w:rsid w:val="00694F0E"/>
    <w:rsid w:val="00695256"/>
    <w:rsid w:val="00695570"/>
    <w:rsid w:val="00696AF1"/>
    <w:rsid w:val="006A1F44"/>
    <w:rsid w:val="006A3B31"/>
    <w:rsid w:val="006A68F3"/>
    <w:rsid w:val="006A7EAD"/>
    <w:rsid w:val="006B4127"/>
    <w:rsid w:val="006B5535"/>
    <w:rsid w:val="006B6352"/>
    <w:rsid w:val="006B7A73"/>
    <w:rsid w:val="006C40B9"/>
    <w:rsid w:val="006D2A9F"/>
    <w:rsid w:val="006D5113"/>
    <w:rsid w:val="006E520F"/>
    <w:rsid w:val="006E678B"/>
    <w:rsid w:val="006F00CC"/>
    <w:rsid w:val="006F594E"/>
    <w:rsid w:val="006F7E33"/>
    <w:rsid w:val="00714FEF"/>
    <w:rsid w:val="007170AA"/>
    <w:rsid w:val="007171D0"/>
    <w:rsid w:val="00730589"/>
    <w:rsid w:val="00732B66"/>
    <w:rsid w:val="007406DE"/>
    <w:rsid w:val="00743E79"/>
    <w:rsid w:val="00750554"/>
    <w:rsid w:val="00751C37"/>
    <w:rsid w:val="007757F3"/>
    <w:rsid w:val="00777EAC"/>
    <w:rsid w:val="007815DC"/>
    <w:rsid w:val="00782345"/>
    <w:rsid w:val="00792DBE"/>
    <w:rsid w:val="00793A60"/>
    <w:rsid w:val="007960BC"/>
    <w:rsid w:val="007A47FB"/>
    <w:rsid w:val="007B106B"/>
    <w:rsid w:val="007B275D"/>
    <w:rsid w:val="007E339C"/>
    <w:rsid w:val="007E6AEB"/>
    <w:rsid w:val="007F01EC"/>
    <w:rsid w:val="007F030C"/>
    <w:rsid w:val="007F6A42"/>
    <w:rsid w:val="007F7DF2"/>
    <w:rsid w:val="00803405"/>
    <w:rsid w:val="008079FA"/>
    <w:rsid w:val="0085122B"/>
    <w:rsid w:val="00864902"/>
    <w:rsid w:val="0086555F"/>
    <w:rsid w:val="00880718"/>
    <w:rsid w:val="00882522"/>
    <w:rsid w:val="00890931"/>
    <w:rsid w:val="00896C56"/>
    <w:rsid w:val="008973EE"/>
    <w:rsid w:val="008B0F25"/>
    <w:rsid w:val="008D089D"/>
    <w:rsid w:val="008E0152"/>
    <w:rsid w:val="008F0B04"/>
    <w:rsid w:val="008F6A77"/>
    <w:rsid w:val="008F76A9"/>
    <w:rsid w:val="00904E1B"/>
    <w:rsid w:val="00923EDF"/>
    <w:rsid w:val="00924483"/>
    <w:rsid w:val="00930694"/>
    <w:rsid w:val="009323D0"/>
    <w:rsid w:val="0093521F"/>
    <w:rsid w:val="00945677"/>
    <w:rsid w:val="00946670"/>
    <w:rsid w:val="00962F78"/>
    <w:rsid w:val="0096609F"/>
    <w:rsid w:val="009711D4"/>
    <w:rsid w:val="00971600"/>
    <w:rsid w:val="0097317D"/>
    <w:rsid w:val="00977B3A"/>
    <w:rsid w:val="009973B4"/>
    <w:rsid w:val="009C7777"/>
    <w:rsid w:val="009E30DA"/>
    <w:rsid w:val="009E35C0"/>
    <w:rsid w:val="009F7EED"/>
    <w:rsid w:val="00A04935"/>
    <w:rsid w:val="00A138EC"/>
    <w:rsid w:val="00A456AF"/>
    <w:rsid w:val="00A4606C"/>
    <w:rsid w:val="00A56A93"/>
    <w:rsid w:val="00A62689"/>
    <w:rsid w:val="00A653E2"/>
    <w:rsid w:val="00A712F4"/>
    <w:rsid w:val="00A76D36"/>
    <w:rsid w:val="00A801DE"/>
    <w:rsid w:val="00A90A22"/>
    <w:rsid w:val="00A964A3"/>
    <w:rsid w:val="00AB41FC"/>
    <w:rsid w:val="00AB4BFA"/>
    <w:rsid w:val="00AB7D2F"/>
    <w:rsid w:val="00AC0A90"/>
    <w:rsid w:val="00AC19B4"/>
    <w:rsid w:val="00AD74C7"/>
    <w:rsid w:val="00AE37CA"/>
    <w:rsid w:val="00AF0AAB"/>
    <w:rsid w:val="00AF1D79"/>
    <w:rsid w:val="00AF546C"/>
    <w:rsid w:val="00B0437A"/>
    <w:rsid w:val="00B0685B"/>
    <w:rsid w:val="00B166EA"/>
    <w:rsid w:val="00B411A9"/>
    <w:rsid w:val="00B434A0"/>
    <w:rsid w:val="00B45C2D"/>
    <w:rsid w:val="00B8202D"/>
    <w:rsid w:val="00B822C7"/>
    <w:rsid w:val="00B931E4"/>
    <w:rsid w:val="00B931F5"/>
    <w:rsid w:val="00B94210"/>
    <w:rsid w:val="00B95F69"/>
    <w:rsid w:val="00BA1E88"/>
    <w:rsid w:val="00BA25C0"/>
    <w:rsid w:val="00BC2015"/>
    <w:rsid w:val="00BD6549"/>
    <w:rsid w:val="00BE2A1A"/>
    <w:rsid w:val="00BF04D9"/>
    <w:rsid w:val="00BF4401"/>
    <w:rsid w:val="00BF4EC2"/>
    <w:rsid w:val="00BF597E"/>
    <w:rsid w:val="00C24C9B"/>
    <w:rsid w:val="00C31C73"/>
    <w:rsid w:val="00C51A36"/>
    <w:rsid w:val="00C548BE"/>
    <w:rsid w:val="00C55228"/>
    <w:rsid w:val="00C67A2A"/>
    <w:rsid w:val="00C67E19"/>
    <w:rsid w:val="00C67E47"/>
    <w:rsid w:val="00C71E85"/>
    <w:rsid w:val="00C86F9B"/>
    <w:rsid w:val="00CA1C09"/>
    <w:rsid w:val="00CA690D"/>
    <w:rsid w:val="00CB1E22"/>
    <w:rsid w:val="00CB260B"/>
    <w:rsid w:val="00CC187B"/>
    <w:rsid w:val="00CC2F1B"/>
    <w:rsid w:val="00CC3D9A"/>
    <w:rsid w:val="00CE315A"/>
    <w:rsid w:val="00CE7BE1"/>
    <w:rsid w:val="00CF1726"/>
    <w:rsid w:val="00CF6C5C"/>
    <w:rsid w:val="00CF7E7F"/>
    <w:rsid w:val="00D06F59"/>
    <w:rsid w:val="00D0742D"/>
    <w:rsid w:val="00D21285"/>
    <w:rsid w:val="00D3392D"/>
    <w:rsid w:val="00D36203"/>
    <w:rsid w:val="00D43964"/>
    <w:rsid w:val="00D5397E"/>
    <w:rsid w:val="00D55E69"/>
    <w:rsid w:val="00D562F6"/>
    <w:rsid w:val="00D6418F"/>
    <w:rsid w:val="00D83753"/>
    <w:rsid w:val="00D8388C"/>
    <w:rsid w:val="00D838ED"/>
    <w:rsid w:val="00D91EE4"/>
    <w:rsid w:val="00DA3748"/>
    <w:rsid w:val="00DA7238"/>
    <w:rsid w:val="00DB5EE9"/>
    <w:rsid w:val="00DD15AC"/>
    <w:rsid w:val="00DD690F"/>
    <w:rsid w:val="00DE15C5"/>
    <w:rsid w:val="00DE2645"/>
    <w:rsid w:val="00DE2D80"/>
    <w:rsid w:val="00DE2F81"/>
    <w:rsid w:val="00DE650B"/>
    <w:rsid w:val="00DF11FF"/>
    <w:rsid w:val="00DF72F9"/>
    <w:rsid w:val="00E038E4"/>
    <w:rsid w:val="00E06FC4"/>
    <w:rsid w:val="00E10651"/>
    <w:rsid w:val="00E11153"/>
    <w:rsid w:val="00E14458"/>
    <w:rsid w:val="00E173A4"/>
    <w:rsid w:val="00E43418"/>
    <w:rsid w:val="00E43822"/>
    <w:rsid w:val="00E51D6F"/>
    <w:rsid w:val="00E63714"/>
    <w:rsid w:val="00E64B9B"/>
    <w:rsid w:val="00E65129"/>
    <w:rsid w:val="00E8025C"/>
    <w:rsid w:val="00E95A68"/>
    <w:rsid w:val="00E97424"/>
    <w:rsid w:val="00EA55F7"/>
    <w:rsid w:val="00EA6F97"/>
    <w:rsid w:val="00EB0164"/>
    <w:rsid w:val="00EB0BDD"/>
    <w:rsid w:val="00EC42F5"/>
    <w:rsid w:val="00ED0F62"/>
    <w:rsid w:val="00EE654C"/>
    <w:rsid w:val="00F019E4"/>
    <w:rsid w:val="00F06CFC"/>
    <w:rsid w:val="00F075C4"/>
    <w:rsid w:val="00F1123C"/>
    <w:rsid w:val="00F136ED"/>
    <w:rsid w:val="00F35603"/>
    <w:rsid w:val="00F606E1"/>
    <w:rsid w:val="00F67CBA"/>
    <w:rsid w:val="00F721C7"/>
    <w:rsid w:val="00F83639"/>
    <w:rsid w:val="00F840C3"/>
    <w:rsid w:val="00F94E47"/>
    <w:rsid w:val="00F956F5"/>
    <w:rsid w:val="00FA0833"/>
    <w:rsid w:val="00FA350D"/>
    <w:rsid w:val="00FA4584"/>
    <w:rsid w:val="00FB7752"/>
    <w:rsid w:val="00FC5B50"/>
    <w:rsid w:val="00FC7CBE"/>
    <w:rsid w:val="00FD2869"/>
    <w:rsid w:val="00FD5EE5"/>
    <w:rsid w:val="00FD72A6"/>
    <w:rsid w:val="00FE76F9"/>
    <w:rsid w:val="00FF6091"/>
    <w:rsid w:val="03586C19"/>
    <w:rsid w:val="088857F2"/>
    <w:rsid w:val="0FB1318A"/>
    <w:rsid w:val="108219C2"/>
    <w:rsid w:val="1FCE7240"/>
    <w:rsid w:val="2425748B"/>
    <w:rsid w:val="353E349A"/>
    <w:rsid w:val="4AF876C0"/>
    <w:rsid w:val="52835E6C"/>
    <w:rsid w:val="53DA1A29"/>
    <w:rsid w:val="557407C8"/>
    <w:rsid w:val="58AE5D32"/>
    <w:rsid w:val="5EA12B9A"/>
    <w:rsid w:val="746B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464</Words>
  <Characters>2651</Characters>
  <Lines>22</Lines>
  <Paragraphs>6</Paragraphs>
  <TotalTime>3</TotalTime>
  <ScaleCrop>false</ScaleCrop>
  <LinksUpToDate>false</LinksUpToDate>
  <CharactersWithSpaces>3109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2021-08-21T10:57:00Z</dcterms:modified>
  <cp:revision>487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0CE2F0A1E4AA46AF951EA3B479C3FF2A</vt:lpwstr>
  </property>
</Properties>
</file>