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0257-2019-QEOJ-2021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四川正翔建筑装饰工程有限公司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四川正翔建筑装饰工程有限公司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四川省德阳市庐山北路477号希望城商业街1幢E座25-3号</w:t>
            </w:r>
            <w:bookmarkEnd w:id="5"/>
          </w:p>
        </w:tc>
        <w:tc>
          <w:tcPr>
            <w:tcW w:w="1242" w:type="dxa"/>
            <w:vMerge w:val="restart"/>
            <w:vAlign w:val="center"/>
          </w:tcPr>
          <w:p>
            <w:r>
              <w:rPr>
                <w:rFonts w:hint="eastAsia"/>
              </w:rPr>
              <w:t>邮编</w:t>
            </w:r>
          </w:p>
        </w:tc>
        <w:tc>
          <w:tcPr>
            <w:tcW w:w="1771" w:type="dxa"/>
          </w:tcPr>
          <w:p>
            <w:bookmarkStart w:id="6" w:name="注册邮编"/>
            <w:r>
              <w:t>618000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四川省德阳市庐山北路477号希望城商业街1幢E座25-3号</w:t>
            </w:r>
            <w:bookmarkEnd w:id="7"/>
          </w:p>
        </w:tc>
        <w:tc>
          <w:tcPr>
            <w:tcW w:w="1242" w:type="dxa"/>
            <w:vMerge w:val="continue"/>
            <w:vAlign w:val="center"/>
          </w:tcPr>
          <w:p/>
        </w:tc>
        <w:tc>
          <w:tcPr>
            <w:tcW w:w="1771" w:type="dxa"/>
          </w:tcPr>
          <w:p>
            <w:bookmarkStart w:id="8" w:name="办公邮编"/>
            <w:r>
              <w:t>618000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刘玉莹</w:t>
            </w:r>
            <w:bookmarkEnd w:id="9"/>
          </w:p>
        </w:tc>
        <w:tc>
          <w:tcPr>
            <w:tcW w:w="1313" w:type="dxa"/>
            <w:vAlign w:val="center"/>
          </w:tcPr>
          <w:p>
            <w:r>
              <w:rPr>
                <w:rFonts w:hint="eastAsia"/>
              </w:rPr>
              <w:t>电话.</w:t>
            </w:r>
          </w:p>
        </w:tc>
        <w:tc>
          <w:tcPr>
            <w:tcW w:w="2180" w:type="dxa"/>
            <w:vAlign w:val="center"/>
          </w:tcPr>
          <w:p>
            <w:bookmarkStart w:id="10" w:name="联系人电话"/>
            <w:r>
              <w:t>0838-2558866</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陈柯</w:t>
            </w:r>
            <w:bookmarkEnd w:id="12"/>
          </w:p>
        </w:tc>
        <w:tc>
          <w:tcPr>
            <w:tcW w:w="1313" w:type="dxa"/>
            <w:vAlign w:val="center"/>
          </w:tcPr>
          <w:p>
            <w:r>
              <w:rPr>
                <w:rFonts w:hint="eastAsia"/>
              </w:rPr>
              <w:t>管理者代表</w:t>
            </w:r>
          </w:p>
        </w:tc>
        <w:tc>
          <w:tcPr>
            <w:tcW w:w="2180" w:type="dxa"/>
          </w:tcPr>
          <w:p>
            <w:bookmarkStart w:id="13" w:name="管理者代表"/>
            <w:r>
              <w:t>刘玉莹</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auto"/>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Ansi="宋体"/>
                <w:sz w:val="21"/>
                <w:szCs w:val="21"/>
              </w:rPr>
            </w:pPr>
            <w:r>
              <w:rPr>
                <w:rFonts w:hAnsi="宋体"/>
                <w:sz w:val="21"/>
                <w:szCs w:val="21"/>
              </w:rPr>
              <w:t>建筑施工流程</w:t>
            </w:r>
            <w:r>
              <w:rPr>
                <w:rFonts w:hint="eastAsia" w:hAnsi="宋体"/>
                <w:sz w:val="21"/>
                <w:szCs w:val="21"/>
              </w:rPr>
              <w:t>：施工准备</w:t>
            </w:r>
            <w:r>
              <w:rPr>
                <w:rFonts w:hAnsi="宋体"/>
                <w:sz w:val="21"/>
                <w:szCs w:val="21"/>
              </w:rPr>
              <w:sym w:font="Wingdings" w:char="F0E0"/>
            </w:r>
            <w:r>
              <w:rPr>
                <w:rFonts w:hint="eastAsia" w:hAnsi="宋体"/>
                <w:sz w:val="21"/>
                <w:szCs w:val="21"/>
              </w:rPr>
              <w:t xml:space="preserve"> 基础开挖</w:t>
            </w:r>
            <w:r>
              <w:rPr>
                <w:rFonts w:hAnsi="宋体"/>
                <w:sz w:val="21"/>
                <w:szCs w:val="21"/>
              </w:rPr>
              <w:sym w:font="Wingdings" w:char="F0E0"/>
            </w:r>
            <w:r>
              <w:rPr>
                <w:rFonts w:hAnsi="宋体"/>
                <w:sz w:val="21"/>
                <w:szCs w:val="21"/>
              </w:rPr>
              <w:t>基础工程</w:t>
            </w:r>
            <w:r>
              <w:rPr>
                <w:rFonts w:hint="eastAsia" w:hAnsi="宋体"/>
                <w:sz w:val="21"/>
                <w:szCs w:val="21"/>
              </w:rPr>
              <w:t xml:space="preserve"> </w:t>
            </w:r>
            <w:r>
              <w:rPr>
                <w:rFonts w:hAnsi="宋体"/>
                <w:sz w:val="21"/>
                <w:szCs w:val="21"/>
              </w:rPr>
              <w:sym w:font="Wingdings" w:char="F0E0"/>
            </w:r>
            <w:r>
              <w:rPr>
                <w:rFonts w:hAnsi="宋体"/>
                <w:sz w:val="21"/>
                <w:szCs w:val="21"/>
              </w:rPr>
              <w:t>主体工程</w:t>
            </w:r>
            <w:r>
              <w:rPr>
                <w:rFonts w:hAnsi="宋体"/>
                <w:sz w:val="21"/>
                <w:szCs w:val="21"/>
              </w:rPr>
              <w:sym w:font="Wingdings" w:char="F0E0"/>
            </w:r>
            <w:r>
              <w:rPr>
                <w:rFonts w:hAnsi="宋体"/>
                <w:sz w:val="21"/>
                <w:szCs w:val="21"/>
              </w:rPr>
              <w:t>门窗安装</w:t>
            </w:r>
            <w:r>
              <w:rPr>
                <w:rFonts w:hAnsi="宋体"/>
                <w:sz w:val="21"/>
                <w:szCs w:val="21"/>
              </w:rPr>
              <w:sym w:font="Wingdings" w:char="F0E0"/>
            </w:r>
            <w:r>
              <w:rPr>
                <w:rFonts w:hAnsi="宋体"/>
                <w:sz w:val="21"/>
                <w:szCs w:val="21"/>
              </w:rPr>
              <w:t>内外粉刷</w:t>
            </w:r>
            <w:r>
              <w:rPr>
                <w:rFonts w:hAnsi="宋体"/>
                <w:sz w:val="21"/>
                <w:szCs w:val="21"/>
              </w:rPr>
              <w:sym w:font="Wingdings" w:char="F0E0"/>
            </w:r>
            <w:r>
              <w:rPr>
                <w:rFonts w:hAnsi="宋体"/>
                <w:sz w:val="21"/>
                <w:szCs w:val="21"/>
              </w:rPr>
              <w:t>楼地面</w:t>
            </w:r>
            <w:r>
              <w:rPr>
                <w:rFonts w:hAnsi="宋体"/>
                <w:sz w:val="21"/>
                <w:szCs w:val="21"/>
              </w:rPr>
              <w:sym w:font="Wingdings" w:char="F0E0"/>
            </w:r>
            <w:r>
              <w:rPr>
                <w:rFonts w:hAnsi="宋体"/>
                <w:sz w:val="21"/>
                <w:szCs w:val="21"/>
              </w:rPr>
              <w:t>清理验收</w:t>
            </w:r>
            <w:r>
              <w:rPr>
                <w:rFonts w:hint="eastAsia" w:hAnsi="宋体"/>
                <w:sz w:val="21"/>
                <w:szCs w:val="21"/>
              </w:rPr>
              <w:t>。</w:t>
            </w:r>
          </w:p>
          <w:p>
            <w:r>
              <w:rPr>
                <w:rFonts w:hint="eastAsia" w:hAnsi="宋体"/>
                <w:sz w:val="21"/>
                <w:szCs w:val="21"/>
              </w:rPr>
              <w:t>装修装饰流程：装修装饰流程：施工准备--基础开挖--基础工程--主体工程--门窗安装--内外粉刷--楼地面--清理验收—交付及交付后活动；</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2021年11月06日 上午至2021年11月08日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EC：资质范围内的建筑装修装饰工程、建筑工程施工总承包</w:t>
            </w:r>
          </w:p>
          <w:p>
            <w:r>
              <w:t>E：资质范围内的建筑装修装饰工程、建筑工程施工总承包相关的环境管理活动</w:t>
            </w:r>
          </w:p>
          <w:p>
            <w:r>
              <w:t>O：资质范围内的建筑装修装饰工程、建筑工程施工总承包相关的职业健康安全管理活动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EC：28.02.00;28.08.01;28.08.02;28.08.03;28.08.04;28.08.05</w:t>
            </w:r>
          </w:p>
          <w:p>
            <w:r>
              <w:t>E：28.02.00;28.08.01;28.08.02;28.08.03;28.08.04;28.08.05</w:t>
            </w:r>
          </w:p>
          <w:p>
            <w:r>
              <w:t>O：28.02.00;28.08.01;28.08.02;28.08.03;28.08.04;28.08.05</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hint="default" w:eastAsia="宋体"/>
                <w:lang w:val="en-US" w:eastAsia="zh-CN"/>
              </w:rPr>
            </w:pPr>
            <w:r>
              <w:rPr>
                <w:rFonts w:hint="eastAsia"/>
              </w:rPr>
              <w:sym w:font="Wingdings 2" w:char="0052"/>
            </w:r>
            <w:r>
              <w:rPr>
                <w:rFonts w:hint="eastAsia"/>
              </w:rPr>
              <w:t>其他：</w:t>
            </w:r>
            <w:r>
              <w:rPr>
                <w:rFonts w:hint="eastAsia"/>
                <w:lang w:val="en-US" w:eastAsia="zh-CN"/>
              </w:rPr>
              <w:t>没有不适用条款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bookmarkStart w:id="28" w:name="审核开始日"/>
            <w:r>
              <w:rPr>
                <w:rFonts w:hint="eastAsia"/>
                <w:b/>
                <w:sz w:val="20"/>
              </w:rPr>
              <w:t>2</w:t>
            </w:r>
            <w:r>
              <w:rPr>
                <w:rFonts w:hint="eastAsia"/>
                <w:b w:val="0"/>
                <w:bCs/>
                <w:sz w:val="20"/>
              </w:rPr>
              <w:t>020年07月31日 上午</w:t>
            </w:r>
            <w:bookmarkEnd w:id="28"/>
            <w:r>
              <w:rPr>
                <w:rFonts w:hint="eastAsia"/>
                <w:b w:val="0"/>
                <w:bCs/>
                <w:sz w:val="20"/>
              </w:rPr>
              <w:t>至</w:t>
            </w:r>
            <w:bookmarkStart w:id="29" w:name="审核结束日"/>
            <w:r>
              <w:rPr>
                <w:rFonts w:hint="eastAsia"/>
                <w:b w:val="0"/>
                <w:bCs/>
                <w:sz w:val="20"/>
              </w:rPr>
              <w:t>2020年08月03日 下午</w:t>
            </w:r>
            <w:bookmarkEnd w:id="29"/>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b w:val="0"/>
                <w:bCs w:val="0"/>
              </w:rPr>
              <w:t>有效至</w:t>
            </w:r>
            <w:r>
              <w:rPr>
                <w:rFonts w:hint="eastAsia" w:ascii="宋体" w:hAnsi="宋体"/>
                <w:b w:val="0"/>
                <w:bCs w:val="0"/>
                <w:sz w:val="21"/>
                <w:szCs w:val="21"/>
                <w:lang w:val="en-US" w:eastAsia="zh-CN"/>
              </w:rPr>
              <w:t>2022年07月04日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34"/>
        <w:gridCol w:w="1884"/>
        <w:gridCol w:w="682"/>
        <w:gridCol w:w="2086"/>
        <w:gridCol w:w="165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980" w:type="dxa"/>
            <w:shd w:val="clear" w:color="auto" w:fill="F3F3F3"/>
            <w:tcMar>
              <w:left w:w="57" w:type="dxa"/>
              <w:right w:w="57" w:type="dxa"/>
            </w:tcMar>
          </w:tcPr>
          <w:p>
            <w:r>
              <w:rPr>
                <w:rFonts w:hint="eastAsia"/>
              </w:rPr>
              <w:t>场所编号</w:t>
            </w:r>
          </w:p>
          <w:p>
            <w:r>
              <w:rPr>
                <w:rFonts w:hint="eastAsia"/>
              </w:rPr>
              <w:t>(分证书序号）</w:t>
            </w:r>
          </w:p>
        </w:tc>
        <w:tc>
          <w:tcPr>
            <w:tcW w:w="1934" w:type="dxa"/>
            <w:shd w:val="clear" w:color="auto" w:fill="F3F3F3"/>
            <w:tcMar>
              <w:left w:w="57" w:type="dxa"/>
              <w:right w:w="57" w:type="dxa"/>
            </w:tcMar>
          </w:tcPr>
          <w:p>
            <w:r>
              <w:rPr>
                <w:rFonts w:hint="eastAsia"/>
              </w:rPr>
              <w:t>组织名称及注册场所地址</w:t>
            </w:r>
          </w:p>
        </w:tc>
        <w:tc>
          <w:tcPr>
            <w:tcW w:w="1884" w:type="dxa"/>
            <w:shd w:val="clear" w:color="auto" w:fill="F3F3F3"/>
            <w:tcMar>
              <w:left w:w="57" w:type="dxa"/>
              <w:right w:w="57" w:type="dxa"/>
            </w:tcMar>
          </w:tcPr>
          <w:p>
            <w:r>
              <w:rPr>
                <w:rFonts w:hint="eastAsia"/>
              </w:rPr>
              <w:t>经营场所的地址</w:t>
            </w:r>
          </w:p>
          <w:p>
            <w:r>
              <w:rPr>
                <w:rFonts w:hint="eastAsia"/>
              </w:rPr>
              <w:t>（多现场和临时现场）</w:t>
            </w:r>
          </w:p>
        </w:tc>
        <w:tc>
          <w:tcPr>
            <w:tcW w:w="682" w:type="dxa"/>
            <w:shd w:val="clear" w:color="auto" w:fill="F3F3F3"/>
            <w:tcMar>
              <w:left w:w="57" w:type="dxa"/>
              <w:right w:w="57" w:type="dxa"/>
            </w:tcMar>
          </w:tcPr>
          <w:p>
            <w:r>
              <w:rPr>
                <w:rFonts w:hint="eastAsia"/>
              </w:rPr>
              <w:t>员工人数</w:t>
            </w:r>
          </w:p>
        </w:tc>
        <w:tc>
          <w:tcPr>
            <w:tcW w:w="2086" w:type="dxa"/>
            <w:shd w:val="clear" w:color="auto" w:fill="F3F3F3"/>
            <w:tcMar>
              <w:left w:w="57" w:type="dxa"/>
              <w:right w:w="57" w:type="dxa"/>
            </w:tcMar>
          </w:tcPr>
          <w:p>
            <w:r>
              <w:rPr>
                <w:rFonts w:hint="eastAsia"/>
              </w:rPr>
              <w:t>审核范围（产品和过程）</w:t>
            </w:r>
          </w:p>
          <w:p/>
          <w:p/>
        </w:tc>
        <w:tc>
          <w:tcPr>
            <w:tcW w:w="165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80" w:type="dxa"/>
            <w:vAlign w:val="center"/>
          </w:tcPr>
          <w:p>
            <w:pPr>
              <w:rPr>
                <w:lang w:eastAsia="ja-JP"/>
              </w:rPr>
            </w:pPr>
            <w:r>
              <w:rPr>
                <w:rFonts w:hint="eastAsia"/>
                <w:lang w:eastAsia="ja-JP"/>
              </w:rPr>
              <w:t>01</w:t>
            </w:r>
          </w:p>
        </w:tc>
        <w:tc>
          <w:tcPr>
            <w:tcW w:w="1934" w:type="dxa"/>
          </w:tcPr>
          <w:p>
            <w:pPr>
              <w:rPr>
                <w:lang w:val="de-DE" w:eastAsia="ja-JP"/>
              </w:rPr>
            </w:pPr>
            <w:r>
              <w:rPr>
                <w:rFonts w:asciiTheme="minorEastAsia" w:hAnsiTheme="minorEastAsia" w:eastAsiaTheme="minorEastAsia"/>
                <w:sz w:val="20"/>
              </w:rPr>
              <w:t>四川省德阳市庐山北路477号希望城商业街1幢E座25-3号</w:t>
            </w:r>
          </w:p>
        </w:tc>
        <w:tc>
          <w:tcPr>
            <w:tcW w:w="1884" w:type="dxa"/>
          </w:tcPr>
          <w:p>
            <w:pPr>
              <w:rPr>
                <w:lang w:val="de-DE" w:eastAsia="ja-JP"/>
              </w:rPr>
            </w:pPr>
            <w:r>
              <w:rPr>
                <w:rFonts w:asciiTheme="minorEastAsia" w:hAnsiTheme="minorEastAsia" w:eastAsiaTheme="minorEastAsia"/>
                <w:sz w:val="20"/>
              </w:rPr>
              <w:t>四川省德阳市庐山北路477号希望城商业街1幢E座25-3号</w:t>
            </w:r>
          </w:p>
        </w:tc>
        <w:tc>
          <w:tcPr>
            <w:tcW w:w="682" w:type="dxa"/>
            <w:vAlign w:val="center"/>
          </w:tcPr>
          <w:p>
            <w:pPr>
              <w:rPr>
                <w:lang w:eastAsia="ja-JP"/>
              </w:rPr>
            </w:pPr>
          </w:p>
        </w:tc>
        <w:tc>
          <w:tcPr>
            <w:tcW w:w="2086" w:type="dxa"/>
            <w:vAlign w:val="center"/>
          </w:tcPr>
          <w:p>
            <w:pPr>
              <w:rPr>
                <w:sz w:val="20"/>
              </w:rPr>
            </w:pPr>
            <w:r>
              <w:rPr>
                <w:sz w:val="20"/>
              </w:rPr>
              <w:t>EC：资质范围内的建筑装修装饰工程、建筑工程施工总承包</w:t>
            </w:r>
          </w:p>
          <w:p>
            <w:pPr>
              <w:rPr>
                <w:sz w:val="20"/>
              </w:rPr>
            </w:pPr>
            <w:r>
              <w:rPr>
                <w:sz w:val="20"/>
              </w:rPr>
              <w:t>E：资质范围内的建筑装修装饰工程、建筑工程施工总承包相关的环境管理活动</w:t>
            </w:r>
          </w:p>
          <w:p>
            <w:pPr>
              <w:rPr>
                <w:lang w:eastAsia="ja-JP"/>
              </w:rPr>
            </w:pPr>
            <w:r>
              <w:rPr>
                <w:sz w:val="20"/>
              </w:rPr>
              <w:t>O：资质范围内的建筑装修装饰工程、建筑工程施工总承包相关的职业健康安全管理活动</w:t>
            </w:r>
          </w:p>
        </w:tc>
        <w:tc>
          <w:tcPr>
            <w:tcW w:w="1658" w:type="dxa"/>
            <w:vAlign w:val="cente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Align w:val="center"/>
          </w:tcPr>
          <w:p>
            <w:pPr>
              <w:rPr>
                <w:lang w:eastAsia="ja-JP"/>
              </w:rPr>
            </w:pPr>
            <w:r>
              <w:rPr>
                <w:rFonts w:hint="eastAsia"/>
                <w:lang w:eastAsia="ja-JP"/>
              </w:rPr>
              <w:t>02</w:t>
            </w:r>
          </w:p>
        </w:tc>
        <w:tc>
          <w:tcPr>
            <w:tcW w:w="1934" w:type="dxa"/>
            <w:vAlign w:val="center"/>
          </w:tcPr>
          <w:p>
            <w:pPr>
              <w:rPr>
                <w:rFonts w:hint="eastAsia" w:eastAsia="宋体"/>
                <w:lang w:val="en-US" w:eastAsia="zh-CN"/>
              </w:rPr>
            </w:pPr>
            <w:r>
              <w:rPr>
                <w:rFonts w:hint="eastAsia"/>
                <w:lang w:val="en-US" w:eastAsia="zh-CN"/>
              </w:rPr>
              <w:t>无</w:t>
            </w:r>
          </w:p>
        </w:tc>
        <w:tc>
          <w:tcPr>
            <w:tcW w:w="1884" w:type="dxa"/>
            <w:vAlign w:val="center"/>
          </w:tcPr>
          <w:p>
            <w:pPr>
              <w:rPr>
                <w:lang w:eastAsia="ja-JP"/>
              </w:rPr>
            </w:pPr>
          </w:p>
        </w:tc>
        <w:tc>
          <w:tcPr>
            <w:tcW w:w="682" w:type="dxa"/>
            <w:vAlign w:val="center"/>
          </w:tcPr>
          <w:p>
            <w:pPr>
              <w:rPr>
                <w:lang w:eastAsia="ja-JP"/>
              </w:rPr>
            </w:pPr>
          </w:p>
        </w:tc>
        <w:tc>
          <w:tcPr>
            <w:tcW w:w="2086" w:type="dxa"/>
            <w:vAlign w:val="center"/>
          </w:tcPr>
          <w:p>
            <w:pPr>
              <w:rPr>
                <w:lang w:eastAsia="ja-JP"/>
              </w:rPr>
            </w:pPr>
          </w:p>
        </w:tc>
        <w:tc>
          <w:tcPr>
            <w:tcW w:w="165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0" w:type="dxa"/>
            <w:vAlign w:val="center"/>
          </w:tcPr>
          <w:p>
            <w:pPr>
              <w:rPr>
                <w:lang w:eastAsia="ja-JP"/>
              </w:rPr>
            </w:pPr>
            <w:r>
              <w:rPr>
                <w:rFonts w:hint="eastAsia"/>
                <w:lang w:eastAsia="ja-JP"/>
              </w:rPr>
              <w:t>03</w:t>
            </w:r>
          </w:p>
        </w:tc>
        <w:tc>
          <w:tcPr>
            <w:tcW w:w="1934" w:type="dxa"/>
            <w:vAlign w:val="center"/>
          </w:tcPr>
          <w:p>
            <w:pPr>
              <w:rPr>
                <w:lang w:eastAsia="ja-JP"/>
              </w:rPr>
            </w:pPr>
          </w:p>
        </w:tc>
        <w:tc>
          <w:tcPr>
            <w:tcW w:w="1884" w:type="dxa"/>
            <w:vAlign w:val="center"/>
          </w:tcPr>
          <w:p>
            <w:pPr>
              <w:rPr>
                <w:lang w:eastAsia="ja-JP"/>
              </w:rPr>
            </w:pPr>
          </w:p>
        </w:tc>
        <w:tc>
          <w:tcPr>
            <w:tcW w:w="682" w:type="dxa"/>
            <w:vAlign w:val="center"/>
          </w:tcPr>
          <w:p>
            <w:pPr>
              <w:rPr>
                <w:lang w:eastAsia="ja-JP"/>
              </w:rPr>
            </w:pPr>
          </w:p>
        </w:tc>
        <w:tc>
          <w:tcPr>
            <w:tcW w:w="2086" w:type="dxa"/>
            <w:vAlign w:val="center"/>
          </w:tcPr>
          <w:p>
            <w:pPr>
              <w:rPr>
                <w:lang w:eastAsia="ja-JP"/>
              </w:rPr>
            </w:pPr>
          </w:p>
        </w:tc>
        <w:tc>
          <w:tcPr>
            <w:tcW w:w="165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0" w:type="dxa"/>
            <w:vAlign w:val="center"/>
          </w:tcPr>
          <w:p>
            <w:pPr>
              <w:rPr>
                <w:lang w:eastAsia="ja-JP"/>
              </w:rPr>
            </w:pPr>
            <w:r>
              <w:rPr>
                <w:rFonts w:hint="eastAsia"/>
                <w:lang w:eastAsia="ja-JP"/>
              </w:rPr>
              <w:t>04</w:t>
            </w:r>
          </w:p>
        </w:tc>
        <w:tc>
          <w:tcPr>
            <w:tcW w:w="1934" w:type="dxa"/>
            <w:vAlign w:val="center"/>
          </w:tcPr>
          <w:p>
            <w:pPr>
              <w:rPr>
                <w:lang w:eastAsia="ja-JP"/>
              </w:rPr>
            </w:pPr>
          </w:p>
        </w:tc>
        <w:tc>
          <w:tcPr>
            <w:tcW w:w="1884" w:type="dxa"/>
            <w:vAlign w:val="center"/>
          </w:tcPr>
          <w:p>
            <w:pPr>
              <w:rPr>
                <w:lang w:eastAsia="ja-JP"/>
              </w:rPr>
            </w:pPr>
          </w:p>
        </w:tc>
        <w:tc>
          <w:tcPr>
            <w:tcW w:w="682" w:type="dxa"/>
            <w:vAlign w:val="center"/>
          </w:tcPr>
          <w:p>
            <w:pPr>
              <w:rPr>
                <w:lang w:eastAsia="ja-JP"/>
              </w:rPr>
            </w:pPr>
          </w:p>
        </w:tc>
        <w:tc>
          <w:tcPr>
            <w:tcW w:w="2086" w:type="dxa"/>
            <w:vAlign w:val="center"/>
          </w:tcPr>
          <w:p>
            <w:pPr>
              <w:rPr>
                <w:lang w:eastAsia="ja-JP"/>
              </w:rPr>
            </w:pPr>
          </w:p>
        </w:tc>
        <w:tc>
          <w:tcPr>
            <w:tcW w:w="165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0" w:type="dxa"/>
            <w:vAlign w:val="center"/>
          </w:tcPr>
          <w:p>
            <w:pPr>
              <w:rPr>
                <w:lang w:eastAsia="ja-JP"/>
              </w:rPr>
            </w:pPr>
            <w:r>
              <w:rPr>
                <w:rFonts w:hint="eastAsia"/>
                <w:lang w:eastAsia="ja-JP"/>
              </w:rPr>
              <w:t>05</w:t>
            </w:r>
          </w:p>
        </w:tc>
        <w:tc>
          <w:tcPr>
            <w:tcW w:w="1934" w:type="dxa"/>
            <w:vAlign w:val="center"/>
          </w:tcPr>
          <w:p>
            <w:pPr>
              <w:rPr>
                <w:lang w:eastAsia="ja-JP"/>
              </w:rPr>
            </w:pPr>
          </w:p>
        </w:tc>
        <w:tc>
          <w:tcPr>
            <w:tcW w:w="1884" w:type="dxa"/>
            <w:vAlign w:val="center"/>
          </w:tcPr>
          <w:p>
            <w:pPr>
              <w:rPr>
                <w:lang w:eastAsia="ja-JP"/>
              </w:rPr>
            </w:pPr>
          </w:p>
        </w:tc>
        <w:tc>
          <w:tcPr>
            <w:tcW w:w="682" w:type="dxa"/>
            <w:vAlign w:val="center"/>
          </w:tcPr>
          <w:p>
            <w:pPr>
              <w:rPr>
                <w:lang w:eastAsia="ja-JP"/>
              </w:rPr>
            </w:pPr>
          </w:p>
        </w:tc>
        <w:tc>
          <w:tcPr>
            <w:tcW w:w="2086" w:type="dxa"/>
            <w:vAlign w:val="center"/>
          </w:tcPr>
          <w:p>
            <w:pPr>
              <w:rPr>
                <w:lang w:eastAsia="ja-JP"/>
              </w:rPr>
            </w:pPr>
          </w:p>
        </w:tc>
        <w:tc>
          <w:tcPr>
            <w:tcW w:w="165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792"/>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792" w:type="dxa"/>
            <w:vAlign w:val="center"/>
          </w:tcPr>
          <w:p>
            <w:r>
              <w:rPr>
                <w:rFonts w:hint="eastAsia"/>
              </w:rPr>
              <w:t>审核员注册证书号</w:t>
            </w:r>
          </w:p>
        </w:tc>
        <w:tc>
          <w:tcPr>
            <w:tcW w:w="325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2792" w:type="dxa"/>
            <w:vAlign w:val="center"/>
          </w:tcPr>
          <w:p>
            <w:r>
              <w:t>2019-N1QMS-3031946</w:t>
            </w:r>
          </w:p>
          <w:p>
            <w:r>
              <w:t>2021-N1EMS-3031946</w:t>
            </w:r>
          </w:p>
          <w:p>
            <w:r>
              <w:t>2019-N1OHSMS-2031946</w:t>
            </w:r>
          </w:p>
        </w:tc>
        <w:tc>
          <w:tcPr>
            <w:tcW w:w="3257" w:type="dxa"/>
            <w:vAlign w:val="center"/>
          </w:tcPr>
          <w:p>
            <w:r>
              <w:t>EC:28.02.00,28.08.01,28.08.02,28.08.03,28.08.04,28.08.05</w:t>
            </w:r>
          </w:p>
          <w:p>
            <w:r>
              <w:t>E:28.02.00,28.08.01,28.08.02,28.08.03,28.08.04,28.08.05</w:t>
            </w:r>
          </w:p>
          <w:p>
            <w:r>
              <w:t>O:28.02.00,28.08.01,28.08.02,28.08.03,28.08.04,28.08.05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2792" w:type="dxa"/>
            <w:vAlign w:val="center"/>
          </w:tcPr>
          <w:p>
            <w:r>
              <w:t>2019-N1EMS-1242345</w:t>
            </w:r>
          </w:p>
        </w:tc>
        <w:tc>
          <w:tcPr>
            <w:tcW w:w="325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2792" w:type="dxa"/>
            <w:vAlign w:val="center"/>
          </w:tcPr>
          <w:p/>
        </w:tc>
        <w:tc>
          <w:tcPr>
            <w:tcW w:w="325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792" w:type="dxa"/>
            <w:vAlign w:val="center"/>
          </w:tcPr>
          <w:p>
            <w:r>
              <w:rPr>
                <w:rFonts w:hint="eastAsia"/>
              </w:rPr>
              <w:t>工作单位</w:t>
            </w:r>
          </w:p>
        </w:tc>
        <w:tc>
          <w:tcPr>
            <w:tcW w:w="325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eastAsia="宋体"/>
                <w:lang w:val="en-US" w:eastAsia="zh-CN"/>
              </w:rPr>
            </w:pPr>
            <w:r>
              <w:rPr>
                <w:rFonts w:hint="eastAsia"/>
                <w:lang w:val="en-US" w:eastAsia="zh-CN"/>
              </w:rPr>
              <w:t>/</w:t>
            </w:r>
          </w:p>
        </w:tc>
        <w:tc>
          <w:tcPr>
            <w:tcW w:w="1089" w:type="dxa"/>
            <w:vAlign w:val="center"/>
          </w:tcPr>
          <w:p/>
        </w:tc>
        <w:tc>
          <w:tcPr>
            <w:tcW w:w="711" w:type="dxa"/>
            <w:vAlign w:val="center"/>
          </w:tcPr>
          <w:p/>
        </w:tc>
        <w:tc>
          <w:tcPr>
            <w:tcW w:w="2792" w:type="dxa"/>
            <w:vAlign w:val="center"/>
          </w:tcPr>
          <w:p/>
        </w:tc>
        <w:tc>
          <w:tcPr>
            <w:tcW w:w="325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792" w:type="dxa"/>
            <w:vAlign w:val="center"/>
          </w:tcPr>
          <w:p/>
        </w:tc>
        <w:tc>
          <w:tcPr>
            <w:tcW w:w="3257"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vAlign w:val="top"/>
          </w:tcPr>
          <w:p>
            <w:r>
              <w:rPr>
                <w:rFonts w:hint="eastAsia"/>
                <w:lang w:val="en-US" w:eastAsia="zh-CN"/>
              </w:rPr>
              <w:t>不涉及</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QMS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50430</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EMS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1"/>
                <w:szCs w:val="21"/>
              </w:rPr>
              <w:drawing>
                <wp:anchor distT="0" distB="0" distL="114300" distR="114300" simplePos="0" relativeHeight="251659264" behindDoc="0" locked="0" layoutInCell="1" allowOverlap="1">
                  <wp:simplePos x="0" y="0"/>
                  <wp:positionH relativeFrom="column">
                    <wp:posOffset>241935</wp:posOffset>
                  </wp:positionH>
                  <wp:positionV relativeFrom="paragraph">
                    <wp:posOffset>27305</wp:posOffset>
                  </wp:positionV>
                  <wp:extent cx="551815" cy="293370"/>
                  <wp:effectExtent l="0" t="0" r="635" b="11430"/>
                  <wp:wrapNone/>
                  <wp:docPr id="1"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2021-11-08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eastAsia="微软雅黑"/>
        </w:rPr>
      </w:pPr>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生产/服务过程</w:t>
            </w:r>
            <w:r>
              <w:rPr>
                <w:rFonts w:hint="eastAsia"/>
              </w:rPr>
              <w:sym w:font="Wingdings 2" w:char="0052"/>
            </w:r>
            <w:r>
              <w:rPr>
                <w:rFonts w:hint="eastAsia"/>
              </w:rPr>
              <w:t>检验检测</w:t>
            </w:r>
            <w:r>
              <w:rPr>
                <w:rFonts w:hint="eastAsia"/>
              </w:rPr>
              <w:sym w:font="Wingdings 2" w:char="00A3"/>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color w:val="000000"/>
                <w:sz w:val="21"/>
                <w:szCs w:val="21"/>
              </w:rPr>
            </w:pPr>
            <w:r>
              <w:rPr>
                <w:rFonts w:hint="eastAsia"/>
              </w:rPr>
              <w:t>最高管理者制定了文件化的管理体系方针：</w:t>
            </w:r>
            <w:r>
              <w:rPr>
                <w:rFonts w:hint="eastAsia" w:ascii="宋体" w:hAnsi="宋体"/>
                <w:color w:val="000000"/>
                <w:sz w:val="21"/>
                <w:szCs w:val="21"/>
              </w:rPr>
              <w:t>科学管理，质量创优，顾客至上，守法经营，　</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color w:val="000000"/>
                <w:sz w:val="21"/>
                <w:szCs w:val="21"/>
              </w:rPr>
            </w:pPr>
            <w:r>
              <w:rPr>
                <w:rFonts w:hint="eastAsia" w:ascii="宋体" w:hAnsi="宋体"/>
                <w:color w:val="000000"/>
                <w:sz w:val="21"/>
                <w:szCs w:val="21"/>
              </w:rPr>
              <w:t>安全第一，预防污染，井井有条，持续改进。</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240" w:lineRule="exact"/>
              <w:textAlignment w:val="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政策法律法规</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法律法规和其他要求控制程序</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行业、技术变化</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市场风险</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市场竞争</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文化</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0" w:type="auto"/>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社会环境</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经济环境</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组织机构设置</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设置不合理，会造成职责不清</w:t>
                  </w:r>
                  <w:r>
                    <w:rPr>
                      <w:rFonts w:hint="eastAsia" w:ascii="宋体" w:cs="宋体"/>
                      <w:sz w:val="21"/>
                      <w:szCs w:val="21"/>
                      <w:lang w:eastAsia="zh-CN"/>
                    </w:rPr>
                    <w:t>，</w:t>
                  </w:r>
                  <w:r>
                    <w:rPr>
                      <w:rFonts w:hint="eastAsia" w:ascii="宋体" w:cs="宋体"/>
                      <w:sz w:val="21"/>
                      <w:szCs w:val="21"/>
                    </w:rPr>
                    <w:t>管理层确定组织机构</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目标制定</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方针、目标（指标）、方案管理程序</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措施制定</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订单评审</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交付产品</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供方评定和选择控制程序/采购控制程序/制定目标</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顾客投诉</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4"/>
                      <w:szCs w:val="24"/>
                      <w:lang w:val="en-US" w:eastAsia="zh-CN" w:bidi="ar-SA"/>
                    </w:rPr>
                  </w:pPr>
                  <w:r>
                    <w:rPr>
                      <w:rFonts w:hint="eastAsia" w:ascii="宋体" w:cs="宋体"/>
                      <w:sz w:val="24"/>
                      <w:szCs w:val="24"/>
                    </w:rPr>
                    <w:t>满意度情况调查</w:t>
                  </w:r>
                </w:p>
              </w:tc>
              <w:tc>
                <w:tcPr>
                  <w:tcW w:w="0" w:type="auto"/>
                  <w:vAlign w:val="center"/>
                </w:tcPr>
                <w:p>
                  <w:pPr>
                    <w:jc w:val="center"/>
                    <w:rPr>
                      <w:rFonts w:hint="eastAsia" w:ascii="宋体" w:hAnsi="Times New Roman" w:eastAsia="宋体" w:cs="宋体"/>
                      <w:kern w:val="2"/>
                      <w:sz w:val="24"/>
                      <w:szCs w:val="24"/>
                      <w:lang w:val="en-US" w:eastAsia="zh-CN" w:bidi="ar-SA"/>
                    </w:rPr>
                  </w:pPr>
                  <w:r>
                    <w:rPr>
                      <w:rFonts w:hint="eastAsia" w:ascii="宋体" w:cs="宋体"/>
                      <w:sz w:val="24"/>
                      <w:szCs w:val="24"/>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61"/>
              <w:gridCol w:w="124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46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41"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58"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rPr>
                  </w:pPr>
                  <w:r>
                    <w:rPr>
                      <w:rFonts w:hint="eastAsia" w:ascii="宋体" w:hAnsi="宋体"/>
                    </w:rPr>
                    <w:t>工程一次检验合格率</w:t>
                  </w:r>
                  <w:r>
                    <w:rPr>
                      <w:rFonts w:hint="eastAsia" w:ascii="宋体" w:hAnsi="宋体"/>
                    </w:rPr>
                    <w:tab/>
                  </w:r>
                  <w:r>
                    <w:rPr>
                      <w:rFonts w:hint="eastAsia" w:ascii="宋体" w:hAnsi="宋体"/>
                    </w:rPr>
                    <w:t>95%以上</w:t>
                  </w:r>
                </w:p>
                <w:p>
                  <w:pPr>
                    <w:shd w:val="clear" w:color="auto" w:fill="C7DAF1" w:themeFill="text2" w:themeFillTint="32"/>
                  </w:pPr>
                </w:p>
              </w:tc>
              <w:tc>
                <w:tcPr>
                  <w:tcW w:w="3461" w:type="dxa"/>
                  <w:shd w:val="clear" w:color="auto" w:fill="auto"/>
                  <w:vAlign w:val="top"/>
                </w:tcPr>
                <w:p>
                  <w:pPr>
                    <w:spacing w:line="360" w:lineRule="auto"/>
                    <w:jc w:val="left"/>
                    <w:rPr>
                      <w:lang w:val="en-GB"/>
                    </w:rPr>
                  </w:pPr>
                  <w:r>
                    <w:rPr>
                      <w:rFonts w:hint="eastAsia"/>
                      <w:szCs w:val="21"/>
                    </w:rPr>
                    <w:t>分项工程一次检验合格数/分项工程检验总数x100</w:t>
                  </w:r>
                </w:p>
              </w:tc>
              <w:tc>
                <w:tcPr>
                  <w:tcW w:w="1241"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行政部</w:t>
                  </w:r>
                </w:p>
              </w:tc>
              <w:tc>
                <w:tcPr>
                  <w:tcW w:w="1558" w:type="dxa"/>
                  <w:shd w:val="clear" w:color="auto" w:fill="auto"/>
                  <w:vAlign w:val="top"/>
                </w:tcPr>
                <w:p>
                  <w:pPr>
                    <w:spacing w:line="360" w:lineRule="auto"/>
                    <w:jc w:val="left"/>
                    <w:rPr>
                      <w:rFonts w:hint="eastAsia" w:ascii="宋体" w:hAnsi="宋体" w:eastAsia="宋体"/>
                      <w:lang w:val="en-US" w:eastAsia="zh-CN"/>
                    </w:rPr>
                  </w:pPr>
                  <w:r>
                    <w:rPr>
                      <w:rFonts w:hint="eastAsia"/>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191" w:type="dxa"/>
                  <w:shd w:val="clear" w:color="auto" w:fill="auto"/>
                </w:tcPr>
                <w:p>
                  <w:pPr>
                    <w:shd w:val="clear" w:color="auto" w:fill="C7DAF1" w:themeFill="text2" w:themeFillTint="32"/>
                  </w:pPr>
                  <w:r>
                    <w:rPr>
                      <w:rFonts w:hint="eastAsia" w:ascii="宋体" w:hAnsi="宋体"/>
                    </w:rPr>
                    <w:t>顾客满意度</w:t>
                  </w:r>
                  <w:r>
                    <w:rPr>
                      <w:rFonts w:hint="eastAsia" w:ascii="宋体" w:hAnsi="宋体"/>
                    </w:rPr>
                    <w:tab/>
                  </w:r>
                  <w:r>
                    <w:rPr>
                      <w:rFonts w:hint="eastAsia" w:ascii="宋体" w:hAnsi="宋体"/>
                    </w:rPr>
                    <w:t>90分以上</w:t>
                  </w:r>
                </w:p>
              </w:tc>
              <w:tc>
                <w:tcPr>
                  <w:tcW w:w="3461" w:type="dxa"/>
                  <w:shd w:val="clear" w:color="auto" w:fill="auto"/>
                  <w:vAlign w:val="top"/>
                </w:tcPr>
                <w:p>
                  <w:pPr>
                    <w:spacing w:line="360" w:lineRule="auto"/>
                    <w:jc w:val="left"/>
                    <w:rPr>
                      <w:rFonts w:ascii="宋体" w:hAnsi="宋体"/>
                    </w:rPr>
                  </w:pPr>
                  <w:r>
                    <w:rPr>
                      <w:rFonts w:hint="eastAsia"/>
                      <w:szCs w:val="21"/>
                    </w:rPr>
                    <w:object>
                      <v:shape id="_x0000_i1025" o:spt="75" type="#_x0000_t75" style="height:20.4pt;width:23.4pt;" o:ole="t" filled="f" o:preferrelative="t" stroked="f" coordsize="21600,21600">
                        <v:path/>
                        <v:fill on="f" focussize="0,0"/>
                        <v:stroke on="f" joinstyle="miter"/>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szCs w:val="21"/>
                    </w:rPr>
                    <w:t>顾客评分/</w:t>
                  </w:r>
                  <w:r>
                    <w:rPr>
                      <w:rFonts w:hint="eastAsia"/>
                      <w:szCs w:val="21"/>
                    </w:rPr>
                    <w:object>
                      <v:shape id="_x0000_i1026" o:spt="75" type="#_x0000_t75" style="height:20.4pt;width:23.4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szCs w:val="21"/>
                    </w:rPr>
                    <w:t>被调查顾客数</w:t>
                  </w:r>
                </w:p>
              </w:tc>
              <w:tc>
                <w:tcPr>
                  <w:tcW w:w="1241"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558" w:type="dxa"/>
                  <w:shd w:val="clear" w:color="auto" w:fill="auto"/>
                  <w:vAlign w:val="top"/>
                </w:tcPr>
                <w:p>
                  <w:pPr>
                    <w:spacing w:line="360" w:lineRule="auto"/>
                    <w:jc w:val="left"/>
                    <w:rPr>
                      <w:rFonts w:ascii="宋体" w:hAnsi="宋体"/>
                    </w:rPr>
                  </w:pPr>
                  <w:r>
                    <w:rPr>
                      <w:rFonts w:hint="eastAsia"/>
                      <w:szCs w:val="21"/>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461" w:type="dxa"/>
                  <w:shd w:val="clear" w:color="auto" w:fill="auto"/>
                  <w:vAlign w:val="center"/>
                </w:tcPr>
                <w:p>
                  <w:pPr>
                    <w:shd w:val="clear" w:color="auto" w:fill="C7DAF1" w:themeFill="text2" w:themeFillTint="32"/>
                    <w:rPr>
                      <w:rFonts w:ascii="宋体" w:hAnsi="宋体"/>
                    </w:rPr>
                  </w:pPr>
                </w:p>
              </w:tc>
              <w:tc>
                <w:tcPr>
                  <w:tcW w:w="1241" w:type="dxa"/>
                  <w:shd w:val="clear" w:color="auto" w:fill="auto"/>
                  <w:vAlign w:val="center"/>
                </w:tcPr>
                <w:p>
                  <w:pPr>
                    <w:shd w:val="clear" w:color="auto" w:fill="C7DAF1" w:themeFill="text2" w:themeFillTint="32"/>
                    <w:rPr>
                      <w:rFonts w:ascii="宋体" w:hAnsi="宋体"/>
                    </w:rPr>
                  </w:pPr>
                </w:p>
              </w:tc>
              <w:tc>
                <w:tcPr>
                  <w:tcW w:w="1558"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461" w:type="dxa"/>
                  <w:shd w:val="clear" w:color="auto" w:fill="auto"/>
                  <w:vAlign w:val="center"/>
                </w:tcPr>
                <w:p>
                  <w:pPr>
                    <w:shd w:val="clear" w:color="auto" w:fill="C7DAF1" w:themeFill="text2" w:themeFillTint="32"/>
                    <w:rPr>
                      <w:rFonts w:ascii="宋体" w:hAnsi="宋体"/>
                    </w:rPr>
                  </w:pPr>
                </w:p>
              </w:tc>
              <w:tc>
                <w:tcPr>
                  <w:tcW w:w="1241" w:type="dxa"/>
                  <w:shd w:val="clear" w:color="auto" w:fill="auto"/>
                  <w:vAlign w:val="center"/>
                </w:tcPr>
                <w:p>
                  <w:pPr>
                    <w:shd w:val="clear" w:color="auto" w:fill="C7DAF1" w:themeFill="text2" w:themeFillTint="32"/>
                    <w:rPr>
                      <w:rFonts w:ascii="宋体" w:hAnsi="宋体"/>
                    </w:rPr>
                  </w:pPr>
                </w:p>
              </w:tc>
              <w:tc>
                <w:tcPr>
                  <w:tcW w:w="1558"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461" w:type="dxa"/>
                  <w:shd w:val="clear" w:color="auto" w:fill="auto"/>
                  <w:vAlign w:val="center"/>
                </w:tcPr>
                <w:p>
                  <w:pPr>
                    <w:shd w:val="clear" w:color="auto" w:fill="C7DAF1" w:themeFill="text2" w:themeFillTint="32"/>
                    <w:rPr>
                      <w:rFonts w:ascii="宋体" w:hAnsi="宋体"/>
                    </w:rPr>
                  </w:pPr>
                </w:p>
              </w:tc>
              <w:tc>
                <w:tcPr>
                  <w:tcW w:w="1241" w:type="dxa"/>
                  <w:shd w:val="clear" w:color="auto" w:fill="auto"/>
                  <w:vAlign w:val="center"/>
                </w:tcPr>
                <w:p>
                  <w:pPr>
                    <w:shd w:val="clear" w:color="auto" w:fill="C7DAF1" w:themeFill="text2" w:themeFillTint="32"/>
                    <w:rPr>
                      <w:rFonts w:ascii="宋体" w:hAnsi="宋体"/>
                    </w:rPr>
                  </w:pPr>
                </w:p>
              </w:tc>
              <w:tc>
                <w:tcPr>
                  <w:tcW w:w="1558"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w:t>
            </w:r>
            <w:r>
              <w:rPr>
                <w:rFonts w:hint="eastAsia"/>
              </w:rPr>
              <w:sym w:font="Wingdings 2" w:char="0052"/>
            </w:r>
            <w:r>
              <w:rPr>
                <w:rFonts w:hint="eastAsia"/>
              </w:rPr>
              <w:t>部门职责变更</w:t>
            </w:r>
            <w:r>
              <w:rPr>
                <w:rFonts w:hint="eastAsia"/>
              </w:rPr>
              <w:sym w:font="Wingdings 2" w:char="0052"/>
            </w:r>
            <w:r>
              <w:rPr>
                <w:rFonts w:hint="eastAsia"/>
              </w:rPr>
              <w:t>主要原材料□关键人员</w:t>
            </w:r>
            <w:r>
              <w:rPr>
                <w:rFonts w:hint="eastAsia"/>
              </w:rPr>
              <w:sym w:font="Wingdings 2" w:char="0052"/>
            </w:r>
            <w:r>
              <w:rPr>
                <w:rFonts w:hint="eastAsia"/>
              </w:rPr>
              <w:t>生产工艺/服务流程</w:t>
            </w:r>
          </w:p>
          <w:p>
            <w:pPr>
              <w:shd w:val="clear" w:color="auto" w:fill="C7DAF1" w:themeFill="text2" w:themeFillTint="32"/>
              <w:spacing w:before="40" w:after="40"/>
            </w:pPr>
            <w:r>
              <w:rPr>
                <w:rFonts w:hint="eastAsia"/>
              </w:rPr>
              <w:sym w:font="Wingdings 2" w:char="0052"/>
            </w:r>
            <w:r>
              <w:rPr>
                <w:rFonts w:hint="eastAsia"/>
              </w:rPr>
              <w:t>主要设备设施</w:t>
            </w:r>
            <w:r>
              <w:rPr>
                <w:rFonts w:hint="eastAsia"/>
              </w:rPr>
              <w:sym w:font="Wingdings 2" w:char="0052"/>
            </w:r>
            <w:r>
              <w:rPr>
                <w:rFonts w:hint="eastAsia"/>
              </w:rPr>
              <w:t>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200平米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asciiTheme="minorEastAsia" w:hAnsiTheme="minorEastAsia" w:eastAsiaTheme="minorEastAsia"/>
                <w:b w:val="0"/>
                <w:bCs/>
                <w:szCs w:val="21"/>
              </w:rPr>
            </w:pPr>
            <w:r>
              <w:rPr>
                <w:rFonts w:hint="eastAsia"/>
              </w:rPr>
              <w:t>主要生产设备有：</w:t>
            </w:r>
            <w:r>
              <w:rPr>
                <w:rFonts w:hint="eastAsia"/>
                <w:u w:val="single"/>
              </w:rPr>
              <w:t>（列举2~4种）</w:t>
            </w:r>
            <w:r>
              <w:rPr>
                <w:rFonts w:hint="eastAsia" w:asciiTheme="minorEastAsia" w:hAnsiTheme="minorEastAsia" w:eastAsiaTheme="minorEastAsia"/>
                <w:b w:val="0"/>
                <w:bCs/>
                <w:szCs w:val="21"/>
              </w:rPr>
              <w:t>电动切割机、电动抛光机、砂轮切割机</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hint="eastAsia"/>
                <w:lang w:val="en-US" w:eastAsia="zh-CN"/>
              </w:rPr>
              <w:t>全站仪、水准仪等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r>
              <w:rPr>
                <w:rFonts w:hint="eastAsia" w:cs="Lucida Sans"/>
                <w:b/>
                <w:lang w:eastAsia="zh-CN"/>
              </w:rPr>
              <w:t>德阳市政府15楼会议室维修工程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tcPr>
                <w:p>
                  <w:pPr>
                    <w:ind w:firstLine="420" w:firstLineChars="200"/>
                    <w:rPr>
                      <w:rFonts w:hint="eastAsia"/>
                      <w:color w:val="auto"/>
                      <w:szCs w:val="21"/>
                      <w:highlight w:val="none"/>
                    </w:rPr>
                  </w:pPr>
                  <w:r>
                    <w:rPr>
                      <w:rFonts w:hint="eastAsia"/>
                      <w:color w:val="auto"/>
                      <w:szCs w:val="21"/>
                      <w:highlight w:val="none"/>
                    </w:rPr>
                    <w:t>关键过程为</w:t>
                  </w: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pPr>
                </w:p>
              </w:tc>
              <w:tc>
                <w:tcPr>
                  <w:tcW w:w="3265" w:type="dxa"/>
                </w:tcPr>
                <w:p>
                  <w:pPr>
                    <w:ind w:firstLine="420" w:firstLineChars="200"/>
                    <w:rPr>
                      <w:rFonts w:hint="eastAsia"/>
                      <w:color w:val="auto"/>
                      <w:szCs w:val="21"/>
                      <w:highlight w:val="none"/>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hAnsi="宋体"/>
                      <w:sz w:val="21"/>
                      <w:szCs w:val="21"/>
                    </w:rPr>
                    <w:t>设计过程</w:t>
                  </w:r>
                </w:p>
              </w:tc>
              <w:tc>
                <w:tcPr>
                  <w:tcW w:w="3665" w:type="dxa"/>
                </w:tcPr>
                <w:p>
                  <w:pPr>
                    <w:shd w:val="clear" w:color="auto" w:fill="C7DAF1" w:themeFill="text2" w:themeFillTint="32"/>
                    <w:jc w:val="left"/>
                  </w:pPr>
                  <w:r>
                    <w:rPr>
                      <w:rFonts w:hint="eastAsia" w:hAnsi="宋体"/>
                      <w:sz w:val="21"/>
                      <w:szCs w:val="21"/>
                      <w:lang w:val="en-US" w:eastAsia="zh-CN"/>
                    </w:rPr>
                    <w:t>依据</w:t>
                  </w:r>
                  <w:r>
                    <w:rPr>
                      <w:rFonts w:hint="eastAsia" w:hAnsi="宋体"/>
                      <w:sz w:val="21"/>
                      <w:szCs w:val="21"/>
                    </w:rPr>
                    <w:t>《设计开发控制程序》</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对设计和开发过程进行评审、确认等活动。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napToGrid w:val="0"/>
              <w:spacing w:line="280" w:lineRule="exact"/>
            </w:pPr>
            <w:r>
              <w:rPr>
                <w:rFonts w:hint="eastAsia"/>
              </w:rPr>
              <w:t>需要确认的过程：</w:t>
            </w:r>
            <w:r>
              <w:rPr>
                <w:rFonts w:hint="eastAsia" w:hAnsi="宋体"/>
                <w:sz w:val="21"/>
                <w:szCs w:val="21"/>
              </w:rPr>
              <w:t>设计过程、隐蔽工程</w:t>
            </w:r>
            <w:r>
              <w:rPr>
                <w:rFonts w:hint="eastAsia" w:hAnsi="宋体"/>
                <w:sz w:val="21"/>
                <w:szCs w:val="21"/>
                <w:lang w:eastAsia="zh-CN"/>
              </w:rPr>
              <w:t>；</w:t>
            </w:r>
            <w:r>
              <w:rPr>
                <w:rFonts w:hint="eastAsia" w:hAnsi="宋体"/>
                <w:sz w:val="21"/>
                <w:szCs w:val="21"/>
                <w:lang w:val="en-US" w:eastAsia="zh-CN"/>
              </w:rPr>
              <w:t>依据</w:t>
            </w:r>
            <w:r>
              <w:rPr>
                <w:rFonts w:hint="eastAsia" w:hAnsi="宋体"/>
                <w:sz w:val="21"/>
                <w:szCs w:val="21"/>
              </w:rPr>
              <w:t>《设计开发控制程序》、作业指导书等</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A3"/>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sym w:font="Wingdings 2" w:char="0052"/>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25</w:t>
            </w:r>
            <w:r>
              <w:rPr>
                <w:rFonts w:hint="eastAsia" w:ascii="宋体" w:hAnsi="宋体" w:cs="宋体"/>
                <w:color w:val="000000" w:themeColor="text1"/>
                <w:szCs w:val="21"/>
              </w:rPr>
              <w:t>日-</w:t>
            </w:r>
            <w:r>
              <w:rPr>
                <w:rFonts w:hint="eastAsia" w:ascii="宋体" w:hAnsi="宋体" w:cs="宋体"/>
                <w:color w:val="000000" w:themeColor="text1"/>
                <w:szCs w:val="21"/>
                <w:lang w:val="en-US" w:eastAsia="zh-CN"/>
              </w:rPr>
              <w:t>26</w:t>
            </w:r>
            <w:r>
              <w:rPr>
                <w:rFonts w:hint="eastAsia" w:ascii="宋体" w:hAnsi="宋体" w:cs="宋体"/>
                <w:color w:val="000000" w:themeColor="text1"/>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bookmarkStart w:id="32" w:name="_GoBack" w:colFirst="4" w:colLast="6"/>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A3"/>
            </w:r>
            <w:r>
              <w:rPr>
                <w:rFonts w:hint="eastAsia"/>
              </w:rPr>
              <w:t>特种设备管理</w:t>
            </w:r>
          </w:p>
          <w:p>
            <w:pPr>
              <w:shd w:val="clear" w:color="auto" w:fill="EBF1DE" w:themeFill="accent3" w:themeFillTint="32"/>
              <w:spacing w:before="40" w:after="40"/>
            </w:pPr>
            <w:r>
              <w:rPr>
                <w:rFonts w:hint="eastAsia"/>
              </w:rPr>
              <w:t>□环评三同时</w:t>
            </w:r>
            <w:r>
              <w:rPr>
                <w:rFonts w:hint="eastAsia"/>
              </w:rPr>
              <w:sym w:font="Wingdings 2" w:char="0052"/>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生产/服务过程□环保监测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sz w:val="21"/>
                      <w:szCs w:val="21"/>
                    </w:rPr>
                    <w:t>废水处理</w:t>
                  </w:r>
                </w:p>
              </w:tc>
              <w:tc>
                <w:tcPr>
                  <w:tcW w:w="3965" w:type="dxa"/>
                  <w:vAlign w:val="center"/>
                </w:tcPr>
                <w:p>
                  <w:pPr>
                    <w:jc w:val="center"/>
                    <w:rPr>
                      <w:rFonts w:hint="default" w:eastAsia="宋体"/>
                      <w:lang w:val="en-US" w:eastAsia="zh-CN"/>
                    </w:rPr>
                  </w:pPr>
                  <w:r>
                    <w:rPr>
                      <w:rFonts w:hint="eastAsia" w:ascii="宋体" w:cs="宋体"/>
                      <w:sz w:val="21"/>
                      <w:szCs w:val="21"/>
                      <w:lang w:val="en-US" w:eastAsia="zh-CN"/>
                    </w:rPr>
                    <w:t>运行</w:t>
                  </w:r>
                  <w:r>
                    <w:rPr>
                      <w:rFonts w:hint="eastAsia" w:ascii="宋体" w:cs="宋体"/>
                      <w:sz w:val="21"/>
                      <w:szCs w:val="21"/>
                    </w:rPr>
                    <w:t>控制程序/制定目标</w:t>
                  </w:r>
                  <w:r>
                    <w:rPr>
                      <w:rFonts w:hint="eastAsia" w:ascii="宋体" w:cs="宋体"/>
                      <w:sz w:val="21"/>
                      <w:szCs w:val="21"/>
                      <w:lang w:val="en-US" w:eastAsia="zh-CN"/>
                    </w:rPr>
                    <w:t>/定期检查/内审/管理评审</w:t>
                  </w:r>
                </w:p>
              </w:tc>
              <w:tc>
                <w:tcPr>
                  <w:tcW w:w="1717" w:type="dxa"/>
                  <w:vAlign w:val="top"/>
                </w:tcPr>
                <w:p>
                  <w:pPr>
                    <w:shd w:val="clear" w:color="auto" w:fill="EBF1DE" w:themeFill="accent3" w:themeFillTint="32"/>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sz w:val="21"/>
                      <w:szCs w:val="21"/>
                    </w:rPr>
                    <w:t>废气处理</w:t>
                  </w:r>
                </w:p>
              </w:tc>
              <w:tc>
                <w:tcPr>
                  <w:tcW w:w="3965" w:type="dxa"/>
                  <w:vAlign w:val="center"/>
                </w:tcPr>
                <w:p>
                  <w:pPr>
                    <w:jc w:val="center"/>
                  </w:pPr>
                  <w:r>
                    <w:rPr>
                      <w:rFonts w:hint="eastAsia" w:ascii="宋体" w:cs="宋体"/>
                      <w:sz w:val="21"/>
                      <w:szCs w:val="21"/>
                      <w:lang w:val="en-US" w:eastAsia="zh-CN"/>
                    </w:rPr>
                    <w:t>运行</w:t>
                  </w:r>
                  <w:r>
                    <w:rPr>
                      <w:rFonts w:hint="eastAsia" w:ascii="宋体" w:cs="宋体"/>
                      <w:sz w:val="21"/>
                      <w:szCs w:val="21"/>
                    </w:rPr>
                    <w:t>控制程序/制定目标</w:t>
                  </w:r>
                  <w:r>
                    <w:rPr>
                      <w:rFonts w:hint="eastAsia" w:ascii="宋体" w:cs="宋体"/>
                      <w:sz w:val="21"/>
                      <w:szCs w:val="21"/>
                      <w:lang w:val="en-US" w:eastAsia="zh-CN"/>
                    </w:rPr>
                    <w:t>/定期检查/内审/管理评审</w:t>
                  </w:r>
                </w:p>
              </w:tc>
              <w:tc>
                <w:tcPr>
                  <w:tcW w:w="1717" w:type="dxa"/>
                  <w:vAlign w:val="top"/>
                </w:tcPr>
                <w:p>
                  <w:pPr>
                    <w:shd w:val="clear" w:color="auto" w:fill="EBF1DE" w:themeFill="accent3" w:themeFillTint="32"/>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sz w:val="21"/>
                      <w:szCs w:val="21"/>
                    </w:rPr>
                    <w:t>固废控制</w:t>
                  </w:r>
                </w:p>
              </w:tc>
              <w:tc>
                <w:tcPr>
                  <w:tcW w:w="3965" w:type="dxa"/>
                  <w:vAlign w:val="center"/>
                </w:tcPr>
                <w:p>
                  <w:pPr>
                    <w:jc w:val="center"/>
                  </w:pPr>
                  <w:r>
                    <w:rPr>
                      <w:rFonts w:hint="eastAsia" w:ascii="宋体" w:cs="宋体"/>
                      <w:sz w:val="21"/>
                      <w:szCs w:val="21"/>
                      <w:lang w:val="en-US" w:eastAsia="zh-CN"/>
                    </w:rPr>
                    <w:t>运行</w:t>
                  </w:r>
                  <w:r>
                    <w:rPr>
                      <w:rFonts w:hint="eastAsia" w:ascii="宋体" w:cs="宋体"/>
                      <w:sz w:val="21"/>
                      <w:szCs w:val="21"/>
                    </w:rPr>
                    <w:t>控制程序/制定目标</w:t>
                  </w:r>
                  <w:r>
                    <w:rPr>
                      <w:rFonts w:hint="eastAsia" w:ascii="宋体" w:cs="宋体"/>
                      <w:sz w:val="21"/>
                      <w:szCs w:val="21"/>
                      <w:lang w:val="en-US" w:eastAsia="zh-CN"/>
                    </w:rPr>
                    <w:t>/定期检查/内审/管理评审</w:t>
                  </w:r>
                </w:p>
              </w:tc>
              <w:tc>
                <w:tcPr>
                  <w:tcW w:w="1717" w:type="dxa"/>
                  <w:vAlign w:val="top"/>
                </w:tcPr>
                <w:p>
                  <w:pPr>
                    <w:shd w:val="clear" w:color="auto" w:fill="EBF1DE" w:themeFill="accent3" w:themeFillTint="32"/>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sz w:val="21"/>
                      <w:szCs w:val="21"/>
                    </w:rPr>
                    <w:t>噪声控制</w:t>
                  </w:r>
                </w:p>
              </w:tc>
              <w:tc>
                <w:tcPr>
                  <w:tcW w:w="3965" w:type="dxa"/>
                  <w:vAlign w:val="top"/>
                </w:tcPr>
                <w:p>
                  <w:pPr>
                    <w:shd w:val="clear" w:color="auto" w:fill="EBF1DE" w:themeFill="accent3" w:themeFillTint="32"/>
                  </w:pPr>
                  <w:r>
                    <w:rPr>
                      <w:rFonts w:hint="eastAsia" w:ascii="宋体" w:cs="宋体"/>
                      <w:sz w:val="21"/>
                      <w:szCs w:val="21"/>
                      <w:lang w:val="en-US" w:eastAsia="zh-CN"/>
                    </w:rPr>
                    <w:t>运行</w:t>
                  </w:r>
                  <w:r>
                    <w:rPr>
                      <w:rFonts w:hint="eastAsia" w:ascii="宋体" w:cs="宋体"/>
                      <w:sz w:val="21"/>
                      <w:szCs w:val="21"/>
                    </w:rPr>
                    <w:t>控制程序/制定目标</w:t>
                  </w:r>
                  <w:r>
                    <w:rPr>
                      <w:rFonts w:hint="eastAsia" w:ascii="宋体" w:cs="宋体"/>
                      <w:sz w:val="21"/>
                      <w:szCs w:val="21"/>
                      <w:lang w:val="en-US" w:eastAsia="zh-CN"/>
                    </w:rPr>
                    <w:t>/定期检查/内审/管理评审</w:t>
                  </w:r>
                </w:p>
              </w:tc>
              <w:tc>
                <w:tcPr>
                  <w:tcW w:w="1717" w:type="dxa"/>
                  <w:vAlign w:val="top"/>
                </w:tcPr>
                <w:p>
                  <w:pPr>
                    <w:shd w:val="clear" w:color="auto" w:fill="EBF1DE" w:themeFill="accent3" w:themeFillTint="32"/>
                  </w:pPr>
                  <w:r>
                    <w:rPr>
                      <w:rFonts w:hint="eastAsia"/>
                      <w:sz w:val="21"/>
                      <w:szCs w:val="21"/>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A3"/>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统计方法</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环境</w:t>
                  </w:r>
                  <w:r>
                    <w:rPr>
                      <w:rFonts w:hint="eastAsia"/>
                    </w:rPr>
                    <w:tab/>
                  </w:r>
                  <w:r>
                    <w:rPr>
                      <w:rFonts w:hint="eastAsia"/>
                    </w:rPr>
                    <w:t>对施工噪声进行控制</w:t>
                  </w:r>
                  <w:r>
                    <w:rPr>
                      <w:rFonts w:hint="eastAsia"/>
                    </w:rPr>
                    <w:tab/>
                  </w:r>
                  <w:r>
                    <w:rPr>
                      <w:rFonts w:hint="eastAsia"/>
                    </w:rPr>
                    <w:t>投诉率为0</w:t>
                  </w:r>
                </w:p>
              </w:tc>
              <w:tc>
                <w:tcPr>
                  <w:tcW w:w="3136" w:type="dxa"/>
                  <w:shd w:val="clear" w:color="auto" w:fill="auto"/>
                  <w:vAlign w:val="top"/>
                </w:tcPr>
                <w:p>
                  <w:pPr>
                    <w:spacing w:line="360" w:lineRule="auto"/>
                    <w:jc w:val="left"/>
                    <w:rPr>
                      <w:lang w:val="en-GB"/>
                    </w:rPr>
                  </w:pPr>
                  <w:r>
                    <w:rPr>
                      <w:rFonts w:hint="eastAsia"/>
                      <w:szCs w:val="21"/>
                    </w:rPr>
                    <w:t>以实际投诉计算</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工程部、质安部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产生的固体废物、进行分类收集、统一处理、减少对环境的影响</w:t>
                  </w:r>
                  <w:r>
                    <w:rPr>
                      <w:rFonts w:hint="eastAsia"/>
                    </w:rPr>
                    <w:tab/>
                  </w:r>
                  <w:r>
                    <w:rPr>
                      <w:rFonts w:hint="eastAsia"/>
                    </w:rPr>
                    <w:t>危险废弃物统一收集、统一处理；可回收废弃物统一收集处理率100%</w:t>
                  </w:r>
                </w:p>
              </w:tc>
              <w:tc>
                <w:tcPr>
                  <w:tcW w:w="3136" w:type="dxa"/>
                  <w:shd w:val="clear" w:color="auto" w:fill="auto"/>
                  <w:vAlign w:val="top"/>
                </w:tcPr>
                <w:p>
                  <w:pPr>
                    <w:spacing w:line="360" w:lineRule="auto"/>
                    <w:jc w:val="left"/>
                    <w:rPr>
                      <w:rFonts w:ascii="宋体" w:hAnsi="宋体"/>
                    </w:rPr>
                  </w:pPr>
                  <w:r>
                    <w:rPr>
                      <w:rFonts w:hint="eastAsia"/>
                      <w:szCs w:val="21"/>
                    </w:rPr>
                    <w:t>可回收、不可回收、危险废弃物分类投放</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工程部、质安部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w:t>
            </w:r>
            <w:r>
              <w:rPr>
                <w:rFonts w:hint="eastAsia"/>
                <w:lang w:val="en-US" w:eastAsia="zh-CN"/>
              </w:rPr>
              <w:t>200平米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汽车吊、卡车、焊机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rPr>
              <w:t>（列举2~4种）</w:t>
            </w:r>
            <w:r>
              <w:rPr>
                <w:rFonts w:hint="eastAsia"/>
                <w:u w:val="single"/>
                <w:lang w:val="en-US" w:eastAsia="zh-CN"/>
              </w:rPr>
              <w:t>灭火器、防护罩</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sym w:font="Wingdings 2" w:char="0052"/>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r>
              <w:rPr>
                <w:rFonts w:hint="eastAsia" w:cs="Lucida Sans"/>
                <w:b/>
                <w:lang w:eastAsia="zh-CN"/>
              </w:rPr>
              <w:t>德阳市政府15楼会议室维修工程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hint="eastAsia" w:eastAsia="宋体"/>
                <w:lang w:val="en-US" w:eastAsia="zh-CN"/>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pPr>
                  <w:r>
                    <w:rPr>
                      <w:rFonts w:hint="eastAsia"/>
                    </w:rPr>
                    <w:t>废水排放</w:t>
                  </w:r>
                </w:p>
              </w:tc>
              <w:tc>
                <w:tcPr>
                  <w:tcW w:w="3665" w:type="dxa"/>
                  <w:vAlign w:val="top"/>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jc w:val="left"/>
                  </w:pPr>
                  <w:r>
                    <w:rPr>
                      <w:rFonts w:hint="eastAsia"/>
                    </w:rPr>
                    <w:sym w:font="Wingdings 2" w:char="0052"/>
                  </w:r>
                  <w:r>
                    <w:rPr>
                      <w:rFonts w:hint="eastAsia"/>
                    </w:rPr>
                    <w:t xml:space="preserve">减少作业时间  </w:t>
                  </w:r>
                  <w:r>
                    <w:rPr>
                      <w:rFonts w:hint="eastAsia"/>
                    </w:rPr>
                    <w:sym w:font="Wingdings 2" w:char="00A3"/>
                  </w:r>
                  <w:r>
                    <w:rPr>
                      <w:rFonts w:hint="eastAsia"/>
                    </w:rPr>
                    <w:t xml:space="preserve">空间隔离 </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val="en-US" w:eastAsia="zh-CN"/>
              </w:rPr>
            </w:pPr>
            <w:r>
              <w:rPr>
                <w:rFonts w:hint="eastAsia"/>
              </w:rPr>
              <w:t>特种设备检测报告，如：</w:t>
            </w:r>
            <w:r>
              <w:rPr>
                <w:rFonts w:hint="eastAsia"/>
                <w:u w:val="single"/>
              </w:rPr>
              <w:t>（</w:t>
            </w:r>
            <w:r>
              <w:rPr>
                <w:rFonts w:hint="eastAsia"/>
              </w:rPr>
              <w:t>举1例）</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2021年4月22日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不涉及</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25</w:t>
            </w:r>
            <w:r>
              <w:rPr>
                <w:rFonts w:hint="eastAsia" w:ascii="宋体" w:hAnsi="宋体" w:cs="宋体"/>
                <w:color w:val="000000" w:themeColor="text1"/>
                <w:szCs w:val="21"/>
              </w:rPr>
              <w:t>日-</w:t>
            </w:r>
            <w:r>
              <w:rPr>
                <w:rFonts w:hint="eastAsia" w:ascii="宋体" w:hAnsi="宋体" w:cs="宋体"/>
                <w:color w:val="000000" w:themeColor="text1"/>
                <w:szCs w:val="21"/>
                <w:lang w:val="en-US" w:eastAsia="zh-CN"/>
              </w:rPr>
              <w:t>26</w:t>
            </w:r>
            <w:r>
              <w:rPr>
                <w:rFonts w:hint="eastAsia" w:ascii="宋体" w:hAnsi="宋体" w:cs="宋体"/>
                <w:color w:val="000000" w:themeColor="text1"/>
                <w:szCs w:val="21"/>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568"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6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568"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68"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w:t>
            </w:r>
            <w:r>
              <w:rPr>
                <w:rFonts w:hint="eastAsia"/>
              </w:rPr>
              <w:sym w:font="Wingdings 2" w:char="00A3"/>
            </w:r>
            <w:r>
              <w:rPr>
                <w:rFonts w:hint="eastAsia"/>
              </w:rPr>
              <w:t>安全监测</w:t>
            </w:r>
            <w:r>
              <w:rPr>
                <w:rFonts w:hint="eastAsia"/>
              </w:rPr>
              <w:sym w:font="Wingdings 2" w:char="00A3"/>
            </w:r>
            <w:r>
              <w:rPr>
                <w:rFonts w:hint="eastAsia"/>
              </w:rPr>
              <w:t>产品运输□设备维修</w:t>
            </w:r>
          </w:p>
          <w:p>
            <w:pPr>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行政部、工程部</w:t>
            </w:r>
          </w:p>
          <w:p>
            <w:pPr>
              <w:rPr>
                <w:rFonts w:hint="eastAsia" w:eastAsia="宋体"/>
                <w:lang w:val="en-US" w:eastAsia="zh-CN"/>
              </w:rPr>
            </w:pPr>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马睿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4469"/>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r>
                    <w:rPr>
                      <w:rFonts w:hint="eastAsia"/>
                    </w:rPr>
                    <w:t>主要的风险或机遇描述</w:t>
                  </w:r>
                </w:p>
              </w:tc>
              <w:tc>
                <w:tcPr>
                  <w:tcW w:w="4395" w:type="dxa"/>
                </w:tcPr>
                <w:p>
                  <w:r>
                    <w:rPr>
                      <w:rFonts w:hint="eastAsia"/>
                    </w:rPr>
                    <w:t>应对措施</w:t>
                  </w:r>
                </w:p>
              </w:tc>
              <w:tc>
                <w:tcPr>
                  <w:tcW w:w="1568"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kern w:val="2"/>
                      <w:sz w:val="21"/>
                      <w:szCs w:val="24"/>
                      <w:lang w:val="en-US" w:eastAsia="zh-CN" w:bidi="ar-SA"/>
                    </w:rPr>
                  </w:pPr>
                  <w:r>
                    <w:rPr>
                      <w:rFonts w:hint="eastAsia"/>
                    </w:rPr>
                    <w:t>机械伤害</w:t>
                  </w:r>
                </w:p>
              </w:tc>
              <w:tc>
                <w:tcPr>
                  <w:tcW w:w="439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1568"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39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1568"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kern w:val="2"/>
                      <w:sz w:val="21"/>
                      <w:szCs w:val="24"/>
                      <w:lang w:val="en-US" w:eastAsia="zh-CN" w:bidi="ar-SA"/>
                    </w:rPr>
                  </w:pPr>
                  <w:r>
                    <w:rPr>
                      <w:rFonts w:hint="eastAsia"/>
                    </w:rPr>
                    <w:t>粉尘</w:t>
                  </w:r>
                </w:p>
              </w:tc>
              <w:tc>
                <w:tcPr>
                  <w:tcW w:w="439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1568"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kern w:val="2"/>
                      <w:sz w:val="21"/>
                      <w:szCs w:val="24"/>
                      <w:lang w:val="en-US" w:eastAsia="zh-CN" w:bidi="ar-SA"/>
                    </w:rPr>
                  </w:pPr>
                  <w:r>
                    <w:rPr>
                      <w:rFonts w:hint="eastAsia"/>
                    </w:rPr>
                    <w:t>噪声</w:t>
                  </w:r>
                </w:p>
              </w:tc>
              <w:tc>
                <w:tcPr>
                  <w:tcW w:w="0" w:type="auto"/>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0" w:type="auto"/>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kern w:val="2"/>
                      <w:sz w:val="21"/>
                      <w:szCs w:val="24"/>
                      <w:lang w:val="en-US" w:eastAsia="zh-CN" w:bidi="ar-SA"/>
                    </w:rPr>
                  </w:pPr>
                  <w:r>
                    <w:rPr>
                      <w:rFonts w:hint="eastAsia"/>
                    </w:rPr>
                    <w:t>高低温</w:t>
                  </w:r>
                </w:p>
              </w:tc>
              <w:tc>
                <w:tcPr>
                  <w:tcW w:w="0" w:type="auto"/>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减少作业时间  </w:t>
                  </w:r>
                  <w:r>
                    <w:rPr>
                      <w:rFonts w:hint="eastAsia"/>
                    </w:rPr>
                    <w:sym w:font="Wingdings 2" w:char="0052"/>
                  </w:r>
                  <w:r>
                    <w:rPr>
                      <w:rFonts w:hint="eastAsia"/>
                    </w:rPr>
                    <w:t xml:space="preserve">空间隔离  </w:t>
                  </w:r>
                  <w:r>
                    <w:rPr>
                      <w:rFonts w:hint="eastAsia"/>
                    </w:rPr>
                    <w:sym w:font="Wingdings 2" w:char="0052"/>
                  </w:r>
                  <w:r>
                    <w:rPr>
                      <w:rFonts w:hint="eastAsia"/>
                    </w:rPr>
                    <w:t>防暑降温用品</w:t>
                  </w:r>
                </w:p>
              </w:tc>
              <w:tc>
                <w:tcPr>
                  <w:tcW w:w="0" w:type="auto"/>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r>
              <w:rPr>
                <w:rFonts w:hint="eastAsia"/>
              </w:rPr>
              <w:t>□安全预评估报告日期：</w:t>
            </w:r>
          </w:p>
          <w:p>
            <w:r>
              <w:rPr>
                <w:rFonts w:hint="eastAsia"/>
              </w:rPr>
              <w:t>□安全现状评估报告表日期：</w:t>
            </w:r>
          </w:p>
          <w:p>
            <w:pPr>
              <w:rPr>
                <w:rFonts w:hint="eastAsia" w:eastAsia="宋体"/>
                <w:lang w:val="en-US" w:eastAsia="zh-CN"/>
              </w:rPr>
            </w:pPr>
            <w:r>
              <w:rPr>
                <w:rFonts w:hint="eastAsia"/>
              </w:rPr>
              <w:sym w:font="Wingdings 2" w:char="0052"/>
            </w:r>
            <w:r>
              <w:rPr>
                <w:rFonts w:hint="eastAsia"/>
              </w:rPr>
              <w:t>职业病体检报告书日期：</w:t>
            </w:r>
            <w:r>
              <w:rPr>
                <w:rFonts w:hint="eastAsia"/>
                <w:lang w:val="en-US" w:eastAsia="zh-CN"/>
              </w:rPr>
              <w:t>已提供参见附件</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t>□危化品控制□压力容器检测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hint="default" w:ascii="宋体" w:hAnsi="宋体" w:eastAsia="宋体"/>
                      <w:lang w:val="en-US" w:eastAsia="zh-CN"/>
                    </w:rPr>
                  </w:pPr>
                  <w:r>
                    <w:rPr>
                      <w:rFonts w:hint="eastAsia" w:ascii="宋体" w:hAnsi="宋体"/>
                      <w:lang w:val="en-US" w:eastAsia="zh-CN"/>
                    </w:rPr>
                    <w:t>统计方法</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危险源得到控制和消除</w:t>
                  </w:r>
                  <w:r>
                    <w:rPr>
                      <w:rFonts w:hint="eastAsia"/>
                    </w:rPr>
                    <w:tab/>
                  </w:r>
                  <w:r>
                    <w:rPr>
                      <w:rFonts w:hint="eastAsia"/>
                    </w:rPr>
                    <w:t>危险源整改率达100%</w:t>
                  </w:r>
                </w:p>
              </w:tc>
              <w:tc>
                <w:tcPr>
                  <w:tcW w:w="3136" w:type="dxa"/>
                  <w:shd w:val="clear" w:color="auto" w:fill="auto"/>
                  <w:vAlign w:val="top"/>
                </w:tcPr>
                <w:p>
                  <w:pPr>
                    <w:spacing w:line="360" w:lineRule="auto"/>
                    <w:jc w:val="left"/>
                    <w:rPr>
                      <w:lang w:val="en-GB"/>
                    </w:rPr>
                  </w:pPr>
                  <w:r>
                    <w:rPr>
                      <w:rFonts w:hint="eastAsia"/>
                      <w:szCs w:val="21"/>
                    </w:rPr>
                    <w:t>危险源整改数/需整改总数x100%</w:t>
                  </w:r>
                </w:p>
              </w:tc>
              <w:tc>
                <w:tcPr>
                  <w:tcW w:w="1350" w:type="dxa"/>
                  <w:shd w:val="clear" w:color="auto" w:fill="auto"/>
                  <w:vAlign w:val="center"/>
                </w:tcPr>
                <w:p>
                  <w:pPr>
                    <w:rPr>
                      <w:rFonts w:hint="default" w:eastAsia="宋体"/>
                      <w:lang w:val="en-US" w:eastAsia="zh-CN"/>
                    </w:rPr>
                  </w:pPr>
                  <w:r>
                    <w:rPr>
                      <w:rFonts w:hint="eastAsia"/>
                      <w:lang w:val="en-US" w:eastAsia="zh-CN"/>
                    </w:rPr>
                    <w:t>工程部/质安部</w:t>
                  </w:r>
                </w:p>
              </w:tc>
              <w:tc>
                <w:tcPr>
                  <w:tcW w:w="1774" w:type="dxa"/>
                  <w:shd w:val="clear" w:color="auto" w:fill="auto"/>
                  <w:vAlign w:val="center"/>
                </w:tcPr>
                <w:p>
                  <w:pPr>
                    <w:jc w:val="center"/>
                    <w:rPr>
                      <w:rFonts w:ascii="宋体" w:hAnsi="宋体"/>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特殊工种持证上岗</w:t>
                  </w:r>
                  <w:r>
                    <w:rPr>
                      <w:rFonts w:hint="eastAsia"/>
                    </w:rPr>
                    <w:tab/>
                  </w:r>
                  <w:r>
                    <w:rPr>
                      <w:rFonts w:hint="eastAsia"/>
                    </w:rPr>
                    <w:t>持证上岗率100%</w:t>
                  </w:r>
                </w:p>
                <w:p/>
              </w:tc>
              <w:tc>
                <w:tcPr>
                  <w:tcW w:w="3136" w:type="dxa"/>
                  <w:shd w:val="clear" w:color="auto" w:fill="auto"/>
                  <w:vAlign w:val="top"/>
                </w:tcPr>
                <w:p>
                  <w:pPr>
                    <w:spacing w:line="360" w:lineRule="auto"/>
                    <w:jc w:val="left"/>
                    <w:rPr>
                      <w:rFonts w:ascii="宋体" w:hAnsi="宋体"/>
                    </w:rPr>
                  </w:pPr>
                  <w:r>
                    <w:rPr>
                      <w:rFonts w:hint="eastAsia"/>
                      <w:szCs w:val="21"/>
                    </w:rPr>
                    <w:t>特殊工种持证上岗数/特殊工种上岗数x100%</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ascii="宋体" w:hAnsi="宋体"/>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严格控制人身伤害事故</w:t>
                  </w:r>
                  <w:r>
                    <w:rPr>
                      <w:rFonts w:hint="eastAsia"/>
                    </w:rPr>
                    <w:tab/>
                  </w:r>
                  <w:r>
                    <w:rPr>
                      <w:rFonts w:hint="eastAsia"/>
                    </w:rPr>
                    <w:t>轻伤率≤5‰</w:t>
                  </w: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r>
                    <w:rPr>
                      <w:rFonts w:hint="eastAsia"/>
                      <w:lang w:val="en-US" w:eastAsia="zh-CN"/>
                    </w:rPr>
                    <w:t>工程部/质安部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w:t>
            </w:r>
            <w:r>
              <w:rPr>
                <w:rFonts w:hint="eastAsia"/>
                <w:lang w:val="en-US" w:eastAsia="zh-CN"/>
              </w:rPr>
              <w:t>200平米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汽车吊、电焊机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sym w:font="Wingdings 2" w:char="00A3"/>
            </w:r>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A3"/>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r>
              <w:rPr>
                <w:rFonts w:hint="eastAsia" w:cs="Lucida Sans"/>
                <w:b/>
                <w:lang w:eastAsia="zh-CN"/>
              </w:rPr>
              <w:t>德阳市政府15楼会议室维修工程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val="en-US" w:eastAsia="zh-CN"/>
              </w:rPr>
            </w:pPr>
            <w:r>
              <w:rPr>
                <w:rFonts w:hint="eastAsia"/>
              </w:rPr>
              <w:t>特种设备检测报告，如：</w:t>
            </w:r>
            <w:r>
              <w:rPr>
                <w:rFonts w:hint="eastAsia"/>
                <w:u w:val="single"/>
              </w:rPr>
              <w:t>（</w:t>
            </w:r>
            <w:r>
              <w:rPr>
                <w:rFonts w:hint="eastAsia"/>
              </w:rPr>
              <w:t>举1例）</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eastAsia"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sym w:font="Wingdings 2" w:char="00A3"/>
            </w:r>
            <w:r>
              <w:rPr>
                <w:rFonts w:hint="eastAsia"/>
              </w:rPr>
              <w:t>厂区和车间内布局</w:t>
            </w:r>
            <w:r>
              <w:rPr>
                <w:rFonts w:hint="eastAsia" w:ascii="Wingdings" w:hAnsi="Wingdings"/>
                <w:lang w:eastAsia="zh-CN"/>
              </w:rPr>
              <w:sym w:font="Wingdings 2" w:char="0052"/>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sym w:font="Wingdings 2" w:char="0052"/>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A3"/>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2021年4月22日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pPr>
              <w:rPr>
                <w:rFonts w:hint="default" w:eastAsia="宋体"/>
                <w:lang w:val="en-US" w:eastAsia="zh-CN"/>
              </w:rPr>
            </w:pPr>
            <w:r>
              <w:rPr>
                <w:rFonts w:hint="eastAsia"/>
              </w:rPr>
              <w:t>《职业病体检》编号：</w:t>
            </w:r>
            <w:r>
              <w:rPr>
                <w:rFonts w:hint="eastAsia"/>
                <w:lang w:val="en-US" w:eastAsia="zh-CN"/>
              </w:rPr>
              <w:t>提供见附件2021年8月</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25</w:t>
            </w:r>
            <w:r>
              <w:rPr>
                <w:rFonts w:hint="eastAsia" w:ascii="宋体" w:hAnsi="宋体" w:cs="宋体"/>
                <w:color w:val="000000" w:themeColor="text1"/>
                <w:szCs w:val="21"/>
              </w:rPr>
              <w:t>日-</w:t>
            </w:r>
            <w:r>
              <w:rPr>
                <w:rFonts w:hint="eastAsia" w:ascii="宋体" w:hAnsi="宋体" w:cs="宋体"/>
                <w:color w:val="000000" w:themeColor="text1"/>
                <w:szCs w:val="21"/>
                <w:lang w:val="en-US" w:eastAsia="zh-CN"/>
              </w:rPr>
              <w:t>26</w:t>
            </w:r>
            <w:r>
              <w:rPr>
                <w:rFonts w:hint="eastAsia" w:ascii="宋体" w:hAnsi="宋体" w:cs="宋体"/>
                <w:color w:val="000000" w:themeColor="text1"/>
                <w:szCs w:val="21"/>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27</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BA612C"/>
    <w:rsid w:val="0775737C"/>
    <w:rsid w:val="24B16D9A"/>
    <w:rsid w:val="3395393B"/>
    <w:rsid w:val="3BFC33F9"/>
    <w:rsid w:val="44A33E63"/>
    <w:rsid w:val="60B04E78"/>
    <w:rsid w:val="68D13104"/>
    <w:rsid w:val="69AC7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19</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2021-11-21T02:46:04Z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