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485"/>
        <w:gridCol w:w="463"/>
        <w:gridCol w:w="1372"/>
        <w:gridCol w:w="130"/>
        <w:gridCol w:w="1004"/>
        <w:gridCol w:w="701"/>
        <w:gridCol w:w="233"/>
        <w:gridCol w:w="63"/>
        <w:gridCol w:w="891"/>
        <w:gridCol w:w="648"/>
        <w:gridCol w:w="45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河北慧圃家具有限公司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鹿泉区大河镇大河村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鹿泉区大河镇大河村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石家庄市新华区友谊北大街373号天河花园6-4-101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  <w:bookmarkStart w:id="4" w:name="联系人"/>
            <w:r>
              <w:rPr>
                <w:sz w:val="21"/>
                <w:szCs w:val="21"/>
              </w:rPr>
              <w:t>苏振才</w:t>
            </w:r>
            <w:bookmarkEnd w:id="4"/>
          </w:p>
        </w:tc>
        <w:tc>
          <w:tcPr>
            <w:tcW w:w="1835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5" w:name="联系人手机"/>
            <w:r>
              <w:rPr>
                <w:sz w:val="21"/>
                <w:szCs w:val="21"/>
              </w:rPr>
              <w:t>18812015338</w:t>
            </w:r>
            <w:bookmarkEnd w:id="5"/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管代电话"/>
            <w:bookmarkEnd w:id="6"/>
            <w:bookmarkStart w:id="7" w:name="最高管理者"/>
            <w:bookmarkEnd w:id="7"/>
            <w:r>
              <w:rPr>
                <w:sz w:val="21"/>
                <w:szCs w:val="21"/>
              </w:rPr>
              <w:t>苏振才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0275-2019-QEO-2021</w:t>
            </w:r>
            <w:bookmarkEnd w:id="8"/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0"/>
                <w:u w:val="none"/>
              </w:rPr>
            </w:pPr>
            <w:r>
              <w:rPr>
                <w:rFonts w:hint="eastAsia"/>
                <w:sz w:val="20"/>
                <w:u w:val="none"/>
              </w:rPr>
              <w:t>审核目的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0"/>
                <w:u w:val="none"/>
              </w:rPr>
            </w:pPr>
            <w:r>
              <w:rPr>
                <w:rFonts w:hint="eastAsia"/>
                <w:b/>
                <w:sz w:val="20"/>
                <w:u w:val="none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u w:val="none"/>
              </w:rPr>
              <w:t>保持认证注册资格：验证组织管理体系是否持续有效运行，以确定是否推荐保持认证注册资格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0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Q：木质家具（办公家具、课桌椅、套房家具）的生产、钢制家具的销售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E：木质家具（办公家具、课桌椅、套房家具）的生产、钢制家具的销售及其所涉及场所的环境相关管理活动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O：木质家具（办公家具、课桌椅、套房家具）的生产、钢制家具的销售及其所涉及场所的职业健康安全相关管理活动</w:t>
            </w:r>
            <w:bookmarkEnd w:id="15"/>
          </w:p>
        </w:tc>
        <w:tc>
          <w:tcPr>
            <w:tcW w:w="8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Q：23.01.01;23.01.04;29.10.05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E：23.01.01;23.01.04;29.10.05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O：23.01.01;23.01.04;29.10.05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2021年08月16日 上午至2021年08月17日 上午</w:t>
            </w:r>
            <w:bookmarkEnd w:id="2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吉洁</w:t>
            </w:r>
          </w:p>
          <w:p>
            <w:pPr>
              <w:pStyle w:val="2"/>
              <w:jc w:val="center"/>
              <w:rPr>
                <w:rFonts w:hint="eastAsia" w:eastAsia="宋体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Q:23.01.01,23.01.04,29.10.05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E:23.01.01,23.01.04,29.10.05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O:23.01.01,23.01.04,29.10.05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周文廷</w:t>
            </w:r>
          </w:p>
          <w:p>
            <w:pPr>
              <w:pStyle w:val="2"/>
              <w:jc w:val="center"/>
              <w:rPr>
                <w:rFonts w:hint="eastAsia" w:eastAsia="宋体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2021.8.16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涉及条款：A审核EO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/6.3/9.1.1/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10:00-14:30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生产和服务提供的控制；产品和服务的放行；不合格输出的控制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涉及条款：A审核Q</w:t>
            </w:r>
            <w:r>
              <w:rPr>
                <w:rFonts w:hint="eastAsia"/>
                <w:sz w:val="21"/>
                <w:szCs w:val="21"/>
              </w:rPr>
              <w:t>8.1/8.3/8.5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>/8.6/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；EO5.3/6.2/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/>
                <w:sz w:val="21"/>
                <w:szCs w:val="21"/>
              </w:rPr>
              <w:t>7.1.3/7.1.4/7</w:t>
            </w:r>
            <w:bookmarkStart w:id="22" w:name="_GoBack"/>
            <w:bookmarkEnd w:id="22"/>
            <w:r>
              <w:rPr>
                <w:rFonts w:hint="eastAsia"/>
                <w:sz w:val="21"/>
                <w:szCs w:val="21"/>
              </w:rPr>
              <w:t>.1.5/8.7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产品和服务要求；外部提供的过程、产品和服务的控制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生产和服务提供的控制；标识和可追溯性；产品防护；变更的控制；顾客或外部供方财产；交付后活动；顾客满意度；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涉及条款：A审核QEO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6.1.2/8.1/8.2</w:t>
            </w:r>
          </w:p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Q8.2/8.4/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2021.8.17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涉及条款：A审核Q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5.3/6.2/9.2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/8.1/8.2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/9.1.1/9.1.2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/9.1.1/10.2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803338"/>
    <w:rsid w:val="606A7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2021-08-16T07:41:05Z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