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bookmarkStart w:id="14" w:name="_GoBack"/>
            <w:bookmarkEnd w:id="14"/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重庆盾渝物业管理有限公司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邓凌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2021年8月16日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在项目部服务</w:t>
            </w:r>
            <w:r>
              <w:rPr>
                <w:rFonts w:hint="eastAsia" w:ascii="方正仿宋简体" w:eastAsia="方正仿宋简体"/>
                <w:b/>
              </w:rPr>
              <w:t>现场配置有灭火器，消防栓等消防设施。在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负一楼停车库</w:t>
            </w:r>
            <w:r>
              <w:rPr>
                <w:rFonts w:hint="eastAsia" w:ascii="方正仿宋简体" w:eastAsia="方正仿宋简体"/>
                <w:b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灭火器箱前堆</w:t>
            </w:r>
            <w:r>
              <w:rPr>
                <w:rFonts w:hint="eastAsia" w:ascii="方正仿宋简体" w:eastAsia="方正仿宋简体"/>
                <w:b/>
              </w:rPr>
              <w:t>放有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其它物品且放置的位置也</w:t>
            </w:r>
            <w:r>
              <w:rPr>
                <w:rFonts w:hint="eastAsia" w:ascii="方正仿宋简体" w:eastAsia="方正仿宋简体"/>
                <w:b/>
              </w:rPr>
              <w:t>造成无法正常使用。不符合标准 GB/T24001-2016的8.2条款“组织应建立、实施和保持对6.1.1中所识别的潜在紧急情况进行应急准备并做出响应所需的过程”。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和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8.2条款“组织应建立、实施和保持对6.1.2.1中所识别的潜在紧急情况进行应急准备并做出响应所需的过程”的要求。</w:t>
            </w: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2704465</wp:posOffset>
                  </wp:positionH>
                  <wp:positionV relativeFrom="paragraph">
                    <wp:posOffset>63500</wp:posOffset>
                  </wp:positionV>
                  <wp:extent cx="757555" cy="419735"/>
                  <wp:effectExtent l="0" t="0" r="4445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139700</wp:posOffset>
                  </wp:positionV>
                  <wp:extent cx="757555" cy="419735"/>
                  <wp:effectExtent l="0" t="0" r="4445" b="698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审核组长：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2021.8.15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2021.8.15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                       </w:t>
            </w:r>
          </w:p>
          <w:p>
            <w:pPr>
              <w:spacing w:before="120" w:line="360" w:lineRule="auto"/>
              <w:ind w:firstLine="4427" w:firstLineChars="2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A170C9"/>
    <w:rsid w:val="2EBA58EE"/>
    <w:rsid w:val="78F954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2021-08-15T02:13:16Z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