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0497-2019-E-2021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大庆倚天石油科技有限公司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大庆倚天石油科技有限公司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黑龙江省大庆市让胡路区乘风庄南二路北公建区A11商服楼11号</w:t>
            </w:r>
            <w:bookmarkEnd w:id="6"/>
          </w:p>
        </w:tc>
        <w:tc>
          <w:tcPr>
            <w:tcW w:w="1242" w:type="dxa"/>
            <w:vMerge w:val="restart"/>
            <w:vAlign w:val="center"/>
          </w:tcPr>
          <w:p>
            <w:r>
              <w:rPr>
                <w:rFonts w:hint="eastAsia"/>
              </w:rPr>
              <w:t>邮编</w:t>
            </w:r>
          </w:p>
        </w:tc>
        <w:tc>
          <w:tcPr>
            <w:tcW w:w="1771" w:type="dxa"/>
          </w:tcPr>
          <w:p>
            <w:bookmarkStart w:id="7" w:name="注册邮编"/>
            <w:r>
              <w:t>163700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黑龙江省大庆市让胡路区乘风庄南二路北公建区A11商服楼11号</w:t>
            </w:r>
            <w:bookmarkEnd w:id="8"/>
          </w:p>
        </w:tc>
        <w:tc>
          <w:tcPr>
            <w:tcW w:w="1242" w:type="dxa"/>
            <w:vMerge w:val="continue"/>
            <w:vAlign w:val="center"/>
          </w:tcPr>
          <w:p/>
        </w:tc>
        <w:tc>
          <w:tcPr>
            <w:tcW w:w="1771" w:type="dxa"/>
          </w:tcPr>
          <w:p>
            <w:bookmarkStart w:id="9" w:name="办公邮编"/>
            <w:r>
              <w:t>163700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李永福</w:t>
            </w:r>
            <w:bookmarkEnd w:id="10"/>
          </w:p>
        </w:tc>
        <w:tc>
          <w:tcPr>
            <w:tcW w:w="1313" w:type="dxa"/>
            <w:vAlign w:val="center"/>
          </w:tcPr>
          <w:p>
            <w:r>
              <w:rPr>
                <w:rFonts w:hint="eastAsia"/>
              </w:rPr>
              <w:t>电话.</w:t>
            </w:r>
          </w:p>
        </w:tc>
        <w:tc>
          <w:tcPr>
            <w:tcW w:w="2180" w:type="dxa"/>
            <w:vAlign w:val="center"/>
          </w:tcPr>
          <w:p>
            <w:bookmarkStart w:id="11" w:name="联系人电话"/>
            <w:r>
              <w:t>18345912648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张晋锋</w:t>
            </w:r>
          </w:p>
        </w:tc>
        <w:tc>
          <w:tcPr>
            <w:tcW w:w="1313" w:type="dxa"/>
            <w:vAlign w:val="center"/>
          </w:tcPr>
          <w:p>
            <w:r>
              <w:rPr>
                <w:rFonts w:hint="eastAsia"/>
              </w:rPr>
              <w:t>管理者代表</w:t>
            </w:r>
          </w:p>
        </w:tc>
        <w:tc>
          <w:tcPr>
            <w:tcW w:w="2180" w:type="dxa"/>
          </w:tcPr>
          <w:p>
            <w:bookmarkStart w:id="13" w:name="管理者代表"/>
            <w:r>
              <w:t>李永福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480" w:lineRule="auto"/>
              <w:ind w:firstLine="420" w:firstLineChars="200"/>
            </w:pPr>
            <w:r>
              <w:rPr>
                <w:rFonts w:hint="eastAsia"/>
              </w:rPr>
              <w:t>石油钻采专用设备及配件、紧固件、泵及配件</w:t>
            </w:r>
            <w:r>
              <w:rPr>
                <w:rFonts w:hint="eastAsia"/>
                <w:lang w:eastAsia="zh-CN"/>
              </w:rPr>
              <w:t>、</w:t>
            </w:r>
            <w:r>
              <w:rPr>
                <w:rFonts w:hint="eastAsia"/>
              </w:rPr>
              <w:t>篷、帆布的</w:t>
            </w:r>
            <w:r>
              <w:rPr>
                <w:rFonts w:hint="eastAsia"/>
                <w:lang w:eastAsia="zh-CN"/>
              </w:rPr>
              <w:t>销售工艺</w:t>
            </w:r>
            <w:r>
              <w:rPr>
                <w:rFonts w:hint="eastAsia" w:ascii="Times New Roman" w:hAnsi="Times New Roman" w:cs="Times New Roman"/>
                <w:lang w:eastAsia="zh-CN"/>
              </w:rPr>
              <w:t>：</w:t>
            </w:r>
            <w:r>
              <w:rPr>
                <w:rFonts w:hint="eastAsia" w:ascii="Times New Roman" w:hAnsi="Times New Roman" w:cs="Times New Roman"/>
              </w:rPr>
              <w:t>市场调查—用户要求—合同评审—接受定单—供方评价—采购—检验—合格—交付</w:t>
            </w:r>
            <w:r>
              <w:rPr>
                <w:rFonts w:hint="eastAsia" w:ascii="Times New Roman" w:hAnsi="Times New Roman" w:cs="Times New Roman"/>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2021年08月18日 上午至2021年08月18日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val="en-US" w:eastAsia="zh-CN"/>
              </w:rPr>
            </w:pPr>
            <w:r>
              <w:rPr>
                <w:rFonts w:hint="eastAsia"/>
                <w:lang w:val="en-US" w:eastAsia="zh-CN"/>
              </w:rPr>
              <w:t>辽宁省沈阳市和平区</w:t>
            </w:r>
          </w:p>
          <w:p>
            <w:pPr>
              <w:pStyle w:val="2"/>
              <w:rPr>
                <w:rFonts w:hint="default"/>
                <w:lang w:val="en-US" w:eastAsia="zh-CN"/>
              </w:rPr>
            </w:pPr>
            <w:bookmarkStart w:id="28" w:name="生产地址"/>
            <w:r>
              <w:rPr>
                <w:rFonts w:hint="eastAsia" w:ascii="Times New Roman" w:hAnsi="Times New Roman" w:eastAsia="宋体" w:cs="Times New Roman"/>
                <w:bCs w:val="0"/>
                <w:spacing w:val="0"/>
                <w:kern w:val="2"/>
                <w:sz w:val="21"/>
                <w:szCs w:val="24"/>
                <w:lang w:val="en-US" w:eastAsia="zh-CN" w:bidi="ar-SA"/>
              </w:rPr>
              <w:t>黑龙江省大庆市让胡路区乘风庄南二路北公建区A11商服楼11号</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w:t>
            </w:r>
            <w:r>
              <w:rPr>
                <w:rFonts w:hint="eastAsia" w:ascii="宋体"/>
                <w:b/>
                <w:color w:val="0000FF"/>
                <w:szCs w:val="21"/>
              </w:rPr>
              <w:sym w:font="Wingdings 2" w:char="0052"/>
            </w:r>
            <w:r>
              <w:rPr>
                <w:rFonts w:hint="eastAsia" w:ascii="宋体"/>
                <w:b/>
                <w:color w:val="0000FF"/>
                <w:szCs w:val="21"/>
              </w:rPr>
              <w:t xml:space="preserve">手持设备 □笔记本电脑 </w:t>
            </w:r>
            <w:r>
              <w:rPr>
                <w:rFonts w:hint="eastAsia" w:ascii="宋体"/>
                <w:b/>
                <w:color w:val="0000FF"/>
                <w:szCs w:val="21"/>
              </w:rPr>
              <w:sym w:font="Wingdings 2" w:char="0052"/>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石油钻采专用设备及配件、紧固件、泵及配件、篷、帆布的销售过程所涉及的相关环境管理活动。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3</w:t>
            </w:r>
            <w:r>
              <w:rPr>
                <w:rFonts w:hint="eastAsia"/>
              </w:rPr>
              <w:t xml:space="preserve">月 </w:t>
            </w:r>
            <w:r>
              <w:rPr>
                <w:rFonts w:hint="eastAsia"/>
                <w:lang w:val="en-US" w:eastAsia="zh-CN"/>
              </w:rPr>
              <w:t>25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 xml:space="preserve">年 </w:t>
            </w:r>
            <w:r>
              <w:rPr>
                <w:rFonts w:hint="eastAsia"/>
                <w:lang w:val="en-US" w:eastAsia="zh-CN"/>
              </w:rPr>
              <w:t>8</w:t>
            </w:r>
            <w:r>
              <w:rPr>
                <w:rFonts w:hint="eastAsia"/>
              </w:rPr>
              <w:t xml:space="preserve">月 </w:t>
            </w:r>
            <w:r>
              <w:rPr>
                <w:rFonts w:hint="eastAsia"/>
                <w:lang w:val="en-US" w:eastAsia="zh-CN"/>
              </w:rPr>
              <w:t>18-19</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 xml:space="preserve">年 </w:t>
            </w:r>
            <w:r>
              <w:rPr>
                <w:rFonts w:hint="eastAsia"/>
                <w:lang w:val="en-US" w:eastAsia="zh-CN"/>
              </w:rPr>
              <w:t>11</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lang w:val="de-DE" w:eastAsia="zh-CN"/>
              </w:rPr>
              <w:t>无</w:t>
            </w: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2021-N1EMS-3031946</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A3"/>
            </w:r>
            <w:r>
              <w:rPr>
                <w:rFonts w:hint="eastAsia"/>
              </w:rPr>
              <w:t xml:space="preserve">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top"/>
          </w:tcPr>
          <w:p>
            <w:r>
              <w:rPr>
                <w:rFonts w:hint="eastAsia"/>
              </w:rPr>
              <w:t>审核组长签字</w:t>
            </w:r>
          </w:p>
        </w:tc>
        <w:tc>
          <w:tcPr>
            <w:tcW w:w="2764" w:type="dxa"/>
            <w:tcMar>
              <w:left w:w="113" w:type="dxa"/>
            </w:tcMar>
            <w:vAlign w:val="top"/>
          </w:tcPr>
          <w:p>
            <w:r>
              <w:rPr>
                <w:sz w:val="21"/>
                <w:szCs w:val="21"/>
              </w:rPr>
              <w:drawing>
                <wp:anchor distT="0" distB="0" distL="114300" distR="114300" simplePos="0" relativeHeight="251661312" behindDoc="0" locked="0" layoutInCell="1" allowOverlap="1">
                  <wp:simplePos x="0" y="0"/>
                  <wp:positionH relativeFrom="column">
                    <wp:posOffset>266065</wp:posOffset>
                  </wp:positionH>
                  <wp:positionV relativeFrom="paragraph">
                    <wp:posOffset>31115</wp:posOffset>
                  </wp:positionV>
                  <wp:extent cx="551815" cy="293370"/>
                  <wp:effectExtent l="0" t="0" r="635" b="11430"/>
                  <wp:wrapNone/>
                  <wp:docPr id="4"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p>
          <w:p/>
        </w:tc>
        <w:tc>
          <w:tcPr>
            <w:tcW w:w="2764" w:type="dxa"/>
            <w:tcMar>
              <w:left w:w="113" w:type="dxa"/>
            </w:tcMar>
            <w:vAlign w:val="top"/>
          </w:tcPr>
          <w:p>
            <w:r>
              <w:rPr>
                <w:rFonts w:hint="eastAsia"/>
                <w:color w:val="auto"/>
              </w:rPr>
              <w:t>日期</w:t>
            </w:r>
          </w:p>
        </w:tc>
        <w:tc>
          <w:tcPr>
            <w:tcW w:w="2766" w:type="dxa"/>
            <w:tcMar>
              <w:left w:w="113" w:type="dxa"/>
            </w:tcMar>
            <w:vAlign w:val="center"/>
          </w:tcPr>
          <w:p>
            <w:pPr>
              <w:rPr>
                <w:rFonts w:hint="default" w:ascii="宋体"/>
                <w:b/>
                <w:color w:val="0000FF"/>
                <w:szCs w:val="21"/>
                <w:lang w:val="en-US"/>
              </w:rPr>
            </w:pPr>
            <w:r>
              <w:rPr>
                <w:rFonts w:hint="eastAsia" w:ascii="宋体"/>
                <w:b/>
                <w:color w:val="auto"/>
                <w:szCs w:val="21"/>
                <w:lang w:val="en-US" w:eastAsia="zh-CN"/>
              </w:rPr>
              <w:t>2021-08-18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□危化品管理 □特种设备管理 </w:t>
            </w:r>
          </w:p>
          <w:p>
            <w:pPr>
              <w:shd w:val="clear" w:color="auto" w:fill="EBF1DE" w:themeFill="accent3" w:themeFillTint="32"/>
              <w:spacing w:before="40" w:after="40"/>
            </w:pPr>
            <w:r>
              <w:rPr>
                <w:rFonts w:hint="eastAsia"/>
              </w:rPr>
              <w:t xml:space="preserve">□环评三同时 </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rPr>
              <w:sym w:font="Wingdings 2" w:char="0052"/>
            </w:r>
            <w:r>
              <w:rPr>
                <w:rFonts w:hint="eastAsia"/>
              </w:rPr>
              <w:t>生产/服务过程 □环保监测 □产品运输 □设备维修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cs="Times New Roman"/>
                <w:u w:val="single"/>
              </w:rPr>
              <w:t>顾客至上 遵规守信 崇尚科技 创立“</w:t>
            </w:r>
            <w:r>
              <w:rPr>
                <w:rFonts w:hint="eastAsia" w:ascii="Times New Roman" w:hAnsi="Times New Roman" w:cs="Times New Roman"/>
                <w:u w:val="single"/>
                <w:lang w:eastAsia="zh-CN"/>
              </w:rPr>
              <w:t>倚天</w:t>
            </w:r>
            <w:r>
              <w:rPr>
                <w:rFonts w:hint="eastAsia" w:ascii="Times New Roman" w:hAnsi="Times New Roman" w:cs="Times New Roman"/>
                <w:u w:val="single"/>
              </w:rPr>
              <w:t>”品牌   安全第一 预防为主 环保先行 确保健康 走可持续发展之路</w:t>
            </w:r>
            <w:r>
              <w:rPr>
                <w:rFonts w:hint="eastAsia" w:ascii="Times New Roman" w:hAnsi="Times New Roman" w:cs="Times New Roman"/>
                <w:u w:val="single"/>
                <w:lang w:eastAsia="zh-CN"/>
              </w:rPr>
              <w:t>。</w:t>
            </w:r>
            <w:r>
              <w:rPr>
                <w:rFonts w:hint="eastAsia" w:ascii="Times New Roman" w:hAnsi="Times New Roman" w:cs="Times New Roman"/>
                <w:u w:val="single"/>
              </w:rPr>
              <w:t xml:space="preserve"> </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政策风险</w:t>
                  </w:r>
                </w:p>
              </w:tc>
              <w:tc>
                <w:tcPr>
                  <w:tcW w:w="3965" w:type="dxa"/>
                  <w:vAlign w:val="top"/>
                </w:tcPr>
                <w:p>
                  <w:pPr>
                    <w:shd w:val="clear" w:color="auto" w:fill="C7DAF1" w:themeFill="text2" w:themeFillTint="32"/>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pPr>
                </w:p>
              </w:tc>
              <w:tc>
                <w:tcPr>
                  <w:tcW w:w="3965" w:type="dxa"/>
                  <w:vAlign w:val="top"/>
                </w:tcPr>
                <w:p>
                  <w:pPr>
                    <w:shd w:val="clear" w:color="auto" w:fill="C7DAF1" w:themeFill="text2" w:themeFillTint="32"/>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pPr>
                </w:p>
              </w:tc>
              <w:tc>
                <w:tcPr>
                  <w:tcW w:w="3965" w:type="dxa"/>
                  <w:vAlign w:val="top"/>
                </w:tcPr>
                <w:p>
                  <w:pPr>
                    <w:spacing w:line="360" w:lineRule="auto"/>
                    <w:ind w:firstLine="420"/>
                    <w:rPr>
                      <w:rFonts w:ascii="宋体" w:hAnsi="宋体" w:cs="宋体"/>
                      <w:color w:val="000000"/>
                      <w:sz w:val="21"/>
                      <w:szCs w:val="21"/>
                    </w:rPr>
                  </w:pPr>
                  <w:r>
                    <w:rPr>
                      <w:rFonts w:hint="eastAsia" w:ascii="宋体" w:hAnsi="宋体" w:cs="宋体"/>
                      <w:color w:val="000000"/>
                      <w:sz w:val="21"/>
                      <w:szCs w:val="21"/>
                    </w:rPr>
                    <w:t>我公司按照市场和客户要求进行销售，公司会组织多部门进行市场调查，多方收集信息，提供质量优等的产品。</w:t>
                  </w:r>
                </w:p>
                <w:p>
                  <w:pPr>
                    <w:shd w:val="clear" w:color="auto" w:fill="C7DAF1" w:themeFill="text2" w:themeFillTint="32"/>
                  </w:pP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pPr>
                </w:p>
              </w:tc>
              <w:tc>
                <w:tcPr>
                  <w:tcW w:w="3965" w:type="dxa"/>
                  <w:vAlign w:val="top"/>
                </w:tcPr>
                <w:p>
                  <w:pPr>
                    <w:spacing w:line="360" w:lineRule="auto"/>
                    <w:ind w:firstLine="420" w:firstLineChars="0"/>
                  </w:pPr>
                  <w:r>
                    <w:rPr>
                      <w:rFonts w:hint="eastAsia" w:ascii="宋体" w:hAnsi="宋体" w:cs="宋体"/>
                      <w:color w:val="000000"/>
                      <w:sz w:val="21"/>
                      <w:szCs w:val="21"/>
                    </w:rPr>
                    <w:t>本公司至少有足够</w:t>
                  </w:r>
                  <w:r>
                    <w:rPr>
                      <w:rFonts w:hint="eastAsia" w:ascii="宋体" w:hAnsi="宋体" w:cs="宋体"/>
                      <w:color w:val="000000"/>
                      <w:sz w:val="21"/>
                      <w:szCs w:val="21"/>
                      <w:lang w:val="en-US" w:eastAsia="zh-CN"/>
                    </w:rPr>
                    <w:t>4</w:t>
                  </w:r>
                  <w:r>
                    <w:rPr>
                      <w:rFonts w:hint="eastAsia" w:ascii="宋体" w:hAnsi="宋体" w:cs="宋体"/>
                      <w:color w:val="000000"/>
                      <w:sz w:val="21"/>
                      <w:szCs w:val="21"/>
                    </w:rPr>
                    <w:t>个月的资金储备，公司内部实行款到发货，不实行欠款服务。</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服务</w:t>
                  </w:r>
                  <w:r>
                    <w:rPr>
                      <w:rFonts w:hint="eastAsia" w:ascii="宋体" w:hAnsi="宋体" w:cs="宋体"/>
                      <w:color w:val="000000"/>
                      <w:sz w:val="21"/>
                      <w:szCs w:val="21"/>
                      <w:lang w:eastAsia="zh-CN"/>
                    </w:rPr>
                    <w:t>环境</w:t>
                  </w:r>
                  <w:r>
                    <w:rPr>
                      <w:rFonts w:hint="eastAsia" w:ascii="宋体" w:hAnsi="宋体" w:cs="宋体"/>
                      <w:color w:val="000000"/>
                      <w:sz w:val="21"/>
                      <w:szCs w:val="21"/>
                    </w:rPr>
                    <w:t>风险</w:t>
                  </w:r>
                </w:p>
              </w:tc>
              <w:tc>
                <w:tcPr>
                  <w:tcW w:w="3965" w:type="dxa"/>
                  <w:vAlign w:val="top"/>
                </w:tcPr>
                <w:p>
                  <w:pPr>
                    <w:shd w:val="clear" w:color="auto" w:fill="C7DAF1" w:themeFill="text2" w:themeFillTint="32"/>
                  </w:pPr>
                  <w:r>
                    <w:rPr>
                      <w:rFonts w:hint="eastAsia" w:ascii="宋体" w:hAnsi="宋体" w:cs="宋体"/>
                      <w:color w:val="000000"/>
                      <w:sz w:val="21"/>
                      <w:szCs w:val="21"/>
                    </w:rPr>
                    <w:t>本公司</w:t>
                  </w:r>
                  <w:r>
                    <w:rPr>
                      <w:rFonts w:hint="eastAsia" w:ascii="宋体" w:hAnsi="宋体" w:cs="宋体"/>
                      <w:color w:val="000000"/>
                      <w:sz w:val="21"/>
                      <w:szCs w:val="21"/>
                      <w:lang w:eastAsia="zh-CN"/>
                    </w:rPr>
                    <w:t>对</w:t>
                  </w:r>
                  <w:r>
                    <w:rPr>
                      <w:rFonts w:hint="eastAsia" w:ascii="Times New Roman" w:hAnsi="Times New Roman" w:cs="Times New Roman"/>
                      <w:b w:val="0"/>
                      <w:bCs/>
                      <w:szCs w:val="22"/>
                      <w:lang w:eastAsia="zh-CN"/>
                    </w:rPr>
                    <w:t>固体废弃物处理采取</w:t>
                  </w:r>
                  <w:r>
                    <w:rPr>
                      <w:rFonts w:hint="eastAsia" w:ascii="宋体" w:hAnsi="宋体" w:cs="宋体"/>
                      <w:color w:val="000000"/>
                      <w:sz w:val="21"/>
                      <w:szCs w:val="21"/>
                    </w:rPr>
                    <w:t>措施，并组织专门人员定期对</w:t>
                  </w:r>
                  <w:r>
                    <w:rPr>
                      <w:rFonts w:hint="eastAsia" w:ascii="宋体" w:hAnsi="宋体" w:cs="宋体"/>
                      <w:color w:val="000000"/>
                      <w:sz w:val="21"/>
                      <w:szCs w:val="21"/>
                      <w:lang w:eastAsia="zh-CN"/>
                    </w:rPr>
                    <w:t>涉及</w:t>
                  </w:r>
                  <w:r>
                    <w:rPr>
                      <w:rFonts w:hint="eastAsia" w:ascii="宋体" w:hAnsi="宋体" w:cs="宋体"/>
                      <w:color w:val="000000"/>
                      <w:sz w:val="21"/>
                      <w:szCs w:val="21"/>
                    </w:rPr>
                    <w:t>环境等进行检查，消除</w:t>
                  </w:r>
                  <w:r>
                    <w:rPr>
                      <w:rFonts w:hint="eastAsia" w:ascii="宋体" w:hAnsi="宋体" w:cs="宋体"/>
                      <w:color w:val="000000"/>
                      <w:sz w:val="21"/>
                      <w:szCs w:val="21"/>
                      <w:lang w:eastAsia="zh-CN"/>
                    </w:rPr>
                    <w:t>环境</w:t>
                  </w:r>
                  <w:r>
                    <w:rPr>
                      <w:rFonts w:hint="eastAsia" w:ascii="宋体" w:hAnsi="宋体" w:cs="宋体"/>
                      <w:color w:val="000000"/>
                      <w:sz w:val="21"/>
                      <w:szCs w:val="21"/>
                    </w:rPr>
                    <w:t>隐患，防止发生</w:t>
                  </w:r>
                  <w:r>
                    <w:rPr>
                      <w:rFonts w:hint="eastAsia" w:ascii="宋体" w:hAnsi="宋体" w:cs="宋体"/>
                      <w:color w:val="000000"/>
                      <w:sz w:val="21"/>
                      <w:szCs w:val="21"/>
                      <w:lang w:eastAsia="zh-CN"/>
                    </w:rPr>
                    <w:t>环境</w:t>
                  </w:r>
                  <w:r>
                    <w:rPr>
                      <w:rFonts w:hint="eastAsia" w:ascii="宋体" w:hAnsi="宋体" w:cs="宋体"/>
                      <w:color w:val="000000"/>
                      <w:sz w:val="21"/>
                      <w:szCs w:val="21"/>
                    </w:rPr>
                    <w:t>等不确定性风险。</w:t>
                  </w:r>
                </w:p>
              </w:tc>
              <w:tc>
                <w:tcPr>
                  <w:tcW w:w="1717" w:type="dxa"/>
                  <w:vAlign w:val="top"/>
                </w:tcPr>
                <w:p>
                  <w:pPr>
                    <w:shd w:val="clear" w:color="auto" w:fill="C7DAF1" w:themeFill="text2" w:themeFillTint="32"/>
                  </w:pPr>
                  <w:r>
                    <w:rPr>
                      <w:rFonts w:hint="eastAsia"/>
                      <w:sz w:val="21"/>
                      <w:szCs w:val="21"/>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不涉及</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不涉及</w:t>
            </w:r>
            <w:r>
              <w:rPr>
                <w:rFonts w:hint="eastAsia"/>
                <w:u w:val="single"/>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不涉及</w:t>
            </w:r>
            <w:r>
              <w:rPr>
                <w:rFonts w:hint="eastAsia"/>
                <w:u w:val="single"/>
              </w:rPr>
              <w:t xml:space="preserve">     </w:t>
            </w:r>
          </w:p>
          <w:p>
            <w:pPr>
              <w:shd w:val="clear" w:color="auto" w:fill="EBF1DE" w:themeFill="accent3" w:themeFillTint="32"/>
              <w:rPr>
                <w:highlight w:val="cyan"/>
              </w:rPr>
            </w:pPr>
            <w:r>
              <w:rPr>
                <w:rFonts w:hint="eastAsia"/>
              </w:rPr>
              <w:sym w:font="Wingdings 2" w:char="0052"/>
            </w:r>
            <w:r>
              <w:rPr>
                <w:rFonts w:hint="eastAsia"/>
              </w:rPr>
              <w:t>其他</w:t>
            </w:r>
            <w:r>
              <w:rPr>
                <w:rFonts w:hint="eastAsia"/>
                <w:u w:val="single"/>
              </w:rPr>
              <w:t xml:space="preserve"> </w:t>
            </w:r>
            <w:r>
              <w:rPr>
                <w:rFonts w:hint="eastAsia"/>
                <w:u w:val="none"/>
              </w:rPr>
              <w:t xml:space="preserve"> 销售过程所涉及的相关环境管理活动。 </w:t>
            </w:r>
            <w:r>
              <w:rPr>
                <w:rFonts w:hint="eastAsia"/>
                <w:u w:val="none"/>
                <w:lang w:val="en-US" w:eastAsia="zh-CN"/>
              </w:rPr>
              <w:t>不涉及以上要求</w:t>
            </w:r>
            <w:r>
              <w:rPr>
                <w:rFonts w:hint="eastAsia"/>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rPr>
              <w:sym w:font="Wingdings 2" w:char="0052"/>
            </w:r>
            <w:r>
              <w:rPr>
                <w:rFonts w:hint="eastAsia"/>
              </w:rPr>
              <w:t xml:space="preserve">除尘设备 □设备降噪  □危废合法处置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lang w:eastAsia="zh-CN"/>
                    </w:rPr>
                    <w:t>环境</w:t>
                  </w:r>
                  <w:r>
                    <w:rPr>
                      <w:rFonts w:hint="eastAsia" w:ascii="宋体" w:hAnsi="宋体"/>
                    </w:rPr>
                    <w:t>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2"/>
                    </w:numPr>
                    <w:ind w:firstLine="420" w:firstLineChars="200"/>
                  </w:pPr>
                  <w:r>
                    <w:rPr>
                      <w:rFonts w:hint="eastAsia" w:ascii="Times New Roman" w:hAnsi="Times New Roman" w:cs="Times New Roman"/>
                      <w:b w:val="0"/>
                      <w:bCs/>
                      <w:szCs w:val="22"/>
                      <w:lang w:eastAsia="zh-CN"/>
                    </w:rPr>
                    <w:t>固体废弃物处理率</w:t>
                  </w:r>
                  <w:r>
                    <w:rPr>
                      <w:rFonts w:hint="eastAsia" w:ascii="Times New Roman" w:hAnsi="Times New Roman" w:cs="Times New Roman"/>
                      <w:b w:val="0"/>
                      <w:bCs/>
                      <w:szCs w:val="22"/>
                    </w:rPr>
                    <w:t>： ≥9</w:t>
                  </w:r>
                  <w:r>
                    <w:rPr>
                      <w:rFonts w:hint="eastAsia" w:cs="Times New Roman"/>
                      <w:b w:val="0"/>
                      <w:bCs/>
                      <w:szCs w:val="22"/>
                      <w:lang w:val="en-US" w:eastAsia="zh-CN"/>
                    </w:rPr>
                    <w:t>2</w:t>
                  </w:r>
                  <w:r>
                    <w:rPr>
                      <w:rFonts w:hint="eastAsia" w:ascii="Times New Roman" w:hAnsi="Times New Roman" w:cs="Times New Roman"/>
                      <w:b w:val="0"/>
                      <w:bCs/>
                      <w:szCs w:val="22"/>
                    </w:rPr>
                    <w:t>％</w:t>
                  </w:r>
                  <w:r>
                    <w:rPr>
                      <w:rFonts w:hint="eastAsia" w:cs="Times New Roman"/>
                      <w:b w:val="0"/>
                      <w:bCs/>
                      <w:szCs w:val="22"/>
                      <w:lang w:val="en-US" w:eastAsia="zh-CN"/>
                    </w:rPr>
                    <w:t xml:space="preserve">                                </w:t>
                  </w:r>
                  <w:r>
                    <w:rPr>
                      <w:rFonts w:hint="eastAsia" w:ascii="Times New Roman" w:hAnsi="Times New Roman" w:cs="Times New Roman"/>
                      <w:b w:val="0"/>
                      <w:bCs/>
                      <w:szCs w:val="22"/>
                      <w:lang w:eastAsia="zh-CN"/>
                    </w:rPr>
                    <w:t>固体废弃物处理率</w:t>
                  </w:r>
                  <w:r>
                    <w:rPr>
                      <w:rFonts w:hint="eastAsia" w:cs="Times New Roman"/>
                      <w:b w:val="0"/>
                      <w:bCs/>
                      <w:szCs w:val="22"/>
                      <w:lang w:val="en-US" w:eastAsia="zh-CN"/>
                    </w:rPr>
                    <w:t>94%</w:t>
                  </w:r>
                </w:p>
              </w:tc>
              <w:tc>
                <w:tcPr>
                  <w:tcW w:w="3136" w:type="dxa"/>
                  <w:shd w:val="clear" w:color="auto" w:fill="auto"/>
                  <w:vAlign w:val="top"/>
                </w:tcPr>
                <w:p>
                  <w:pPr>
                    <w:widowControl/>
                    <w:spacing w:before="40"/>
                    <w:jc w:val="left"/>
                    <w:rPr>
                      <w:lang w:val="en-GB"/>
                    </w:rPr>
                  </w:pPr>
                  <w:r>
                    <w:rPr>
                      <w:rFonts w:hint="eastAsia" w:ascii="Times New Roman" w:hAnsi="Times New Roman" w:cs="Times New Roman"/>
                      <w:b w:val="0"/>
                      <w:bCs/>
                      <w:szCs w:val="22"/>
                      <w:lang w:eastAsia="zh-CN"/>
                    </w:rPr>
                    <w:t>固体废弃物处理率</w:t>
                  </w:r>
                  <w:r>
                    <w:rPr>
                      <w:rFonts w:hint="eastAsia" w:ascii="宋体" w:hAnsi="宋体" w:cs="宋体"/>
                      <w:kern w:val="0"/>
                      <w:lang w:val="en-US" w:eastAsia="zh-CN" w:bidi="ar"/>
                    </w:rPr>
                    <w:t>=</w:t>
                  </w:r>
                  <w:r>
                    <w:rPr>
                      <w:rFonts w:hint="eastAsia" w:ascii="Times New Roman" w:hAnsi="Times New Roman" w:cs="Times New Roman"/>
                      <w:b w:val="0"/>
                      <w:bCs/>
                      <w:szCs w:val="22"/>
                      <w:lang w:eastAsia="zh-CN"/>
                    </w:rPr>
                    <w:t>固体废弃物处理次</w:t>
                  </w:r>
                  <w:r>
                    <w:rPr>
                      <w:rFonts w:hint="eastAsia" w:ascii="宋体" w:hAnsi="宋体" w:cs="宋体"/>
                      <w:kern w:val="0"/>
                      <w:szCs w:val="22"/>
                      <w:lang w:bidi="ar"/>
                    </w:rPr>
                    <w:t>数/总</w:t>
                  </w:r>
                  <w:r>
                    <w:rPr>
                      <w:rFonts w:hint="eastAsia" w:ascii="宋体" w:hAnsi="宋体" w:cs="宋体"/>
                      <w:kern w:val="0"/>
                      <w:szCs w:val="22"/>
                      <w:lang w:eastAsia="zh-CN" w:bidi="ar"/>
                    </w:rPr>
                    <w:t>次</w:t>
                  </w:r>
                  <w:r>
                    <w:rPr>
                      <w:rFonts w:hint="eastAsia" w:ascii="宋体" w:hAnsi="宋体" w:cs="宋体"/>
                      <w:kern w:val="0"/>
                      <w:szCs w:val="22"/>
                      <w:lang w:bidi="ar"/>
                    </w:rPr>
                    <w:t>数*100%</w:t>
                  </w:r>
                </w:p>
              </w:tc>
              <w:tc>
                <w:tcPr>
                  <w:tcW w:w="1350" w:type="dxa"/>
                  <w:shd w:val="clear" w:color="auto" w:fill="auto"/>
                  <w:vAlign w:val="center"/>
                </w:tcPr>
                <w:p>
                  <w:pPr>
                    <w:snapToGrid w:val="0"/>
                    <w:spacing w:line="320" w:lineRule="exact"/>
                    <w:rPr>
                      <w:rFonts w:hint="eastAsia" w:ascii="宋体" w:hAnsi="宋体" w:cs="Times New Roman"/>
                      <w:lang w:val="en-US" w:eastAsia="zh-CN"/>
                    </w:rPr>
                  </w:pPr>
                  <w:r>
                    <w:rPr>
                      <w:rFonts w:hint="eastAsia" w:ascii="宋体" w:hAnsi="宋体" w:cs="Times New Roman"/>
                      <w:lang w:val="en-US" w:eastAsia="zh-CN"/>
                    </w:rPr>
                    <w:t>生产技术部部</w:t>
                  </w:r>
                </w:p>
                <w:p>
                  <w:pPr>
                    <w:snapToGrid w:val="0"/>
                    <w:spacing w:line="320" w:lineRule="exact"/>
                    <w:rPr>
                      <w:rFonts w:hint="eastAsia" w:ascii="宋体" w:hAnsi="宋体" w:cs="Times New Roman"/>
                      <w:lang w:val="en-US" w:eastAsia="zh-CN"/>
                    </w:rPr>
                  </w:pPr>
                </w:p>
                <w:p>
                  <w:pPr>
                    <w:snapToGrid w:val="0"/>
                    <w:spacing w:line="320" w:lineRule="exact"/>
                    <w:rPr>
                      <w:rFonts w:hint="eastAsia" w:ascii="宋体" w:hAnsi="宋体" w:cs="Times New Roman"/>
                      <w:lang w:val="en-GB" w:eastAsia="zh-CN"/>
                    </w:rPr>
                  </w:pP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r>
                    <w:rPr>
                      <w:rFonts w:hint="eastAsia" w:ascii="Times New Roman" w:hAnsi="Times New Roman" w:cs="Times New Roman"/>
                      <w:b w:val="0"/>
                      <w:bCs/>
                      <w:szCs w:val="22"/>
                      <w:lang w:val="en-US" w:eastAsia="zh-CN"/>
                    </w:rPr>
                    <w:t>2、</w:t>
                  </w:r>
                  <w:r>
                    <w:rPr>
                      <w:rFonts w:hint="eastAsia" w:ascii="Times New Roman" w:hAnsi="Times New Roman" w:cs="Times New Roman"/>
                      <w:b w:val="0"/>
                      <w:bCs/>
                      <w:szCs w:val="22"/>
                      <w:lang w:eastAsia="zh-CN"/>
                    </w:rPr>
                    <w:t>法律法规收集的准确率</w:t>
                  </w:r>
                  <w:r>
                    <w:rPr>
                      <w:rFonts w:hint="eastAsia" w:ascii="Times New Roman" w:hAnsi="Times New Roman" w:cs="Times New Roman"/>
                      <w:b w:val="0"/>
                      <w:bCs/>
                      <w:szCs w:val="22"/>
                    </w:rPr>
                    <w:t>：≥95％</w:t>
                  </w:r>
                  <w:r>
                    <w:rPr>
                      <w:rFonts w:hint="eastAsia" w:cs="Times New Roman"/>
                      <w:b w:val="0"/>
                      <w:bCs/>
                      <w:szCs w:val="22"/>
                      <w:lang w:val="en-US" w:eastAsia="zh-CN"/>
                    </w:rPr>
                    <w:t xml:space="preserve">                             </w:t>
                  </w:r>
                  <w:r>
                    <w:rPr>
                      <w:rFonts w:hint="eastAsia" w:ascii="Times New Roman" w:hAnsi="Times New Roman" w:cs="Times New Roman"/>
                      <w:b w:val="0"/>
                      <w:bCs/>
                      <w:szCs w:val="22"/>
                      <w:lang w:eastAsia="zh-CN"/>
                    </w:rPr>
                    <w:t>法律法规收集的准确率</w:t>
                  </w:r>
                  <w:r>
                    <w:rPr>
                      <w:rFonts w:hint="eastAsia" w:cs="Times New Roman"/>
                      <w:b w:val="0"/>
                      <w:bCs/>
                      <w:szCs w:val="22"/>
                      <w:lang w:val="en-US" w:eastAsia="zh-CN"/>
                    </w:rPr>
                    <w:t>100%</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cs="Times New Roman"/>
                      <w:b w:val="0"/>
                      <w:bCs/>
                      <w:szCs w:val="22"/>
                      <w:lang w:eastAsia="zh-CN"/>
                    </w:rPr>
                    <w:t>法律法规收集的准确率</w:t>
                  </w:r>
                  <w:r>
                    <w:rPr>
                      <w:rFonts w:hint="eastAsia" w:ascii="宋体" w:hAnsi="宋体" w:cs="宋体"/>
                      <w:kern w:val="0"/>
                      <w:szCs w:val="22"/>
                      <w:lang w:bidi="ar"/>
                    </w:rPr>
                    <w:t>=</w:t>
                  </w:r>
                  <w:r>
                    <w:rPr>
                      <w:rFonts w:hint="eastAsia" w:ascii="Times New Roman" w:hAnsi="Times New Roman" w:cs="Times New Roman"/>
                      <w:b w:val="0"/>
                      <w:bCs/>
                      <w:szCs w:val="22"/>
                      <w:lang w:eastAsia="zh-CN"/>
                    </w:rPr>
                    <w:t>法律法规收集的准确</w:t>
                  </w:r>
                  <w:r>
                    <w:rPr>
                      <w:rFonts w:hint="eastAsia" w:ascii="宋体" w:hAnsi="宋体" w:cs="宋体"/>
                      <w:kern w:val="0"/>
                      <w:szCs w:val="22"/>
                      <w:lang w:bidi="ar"/>
                    </w:rPr>
                    <w:t>次数/</w:t>
                  </w:r>
                  <w:r>
                    <w:rPr>
                      <w:rFonts w:hint="eastAsia" w:ascii="Times New Roman" w:hAnsi="Times New Roman" w:cs="Times New Roman"/>
                      <w:b w:val="0"/>
                      <w:bCs/>
                      <w:szCs w:val="22"/>
                      <w:lang w:eastAsia="zh-CN"/>
                    </w:rPr>
                    <w:t>法律法规收集的</w:t>
                  </w:r>
                  <w:r>
                    <w:rPr>
                      <w:rFonts w:hint="eastAsia" w:ascii="宋体" w:hAnsi="宋体" w:cs="宋体"/>
                      <w:kern w:val="0"/>
                      <w:szCs w:val="22"/>
                      <w:lang w:bidi="ar"/>
                    </w:rPr>
                    <w:t>总次数×100%</w:t>
                  </w:r>
                </w:p>
              </w:tc>
              <w:tc>
                <w:tcPr>
                  <w:tcW w:w="1350" w:type="dxa"/>
                  <w:shd w:val="clear" w:color="auto" w:fill="auto"/>
                  <w:vAlign w:val="center"/>
                </w:tcPr>
                <w:p>
                  <w:pPr>
                    <w:snapToGrid w:val="0"/>
                    <w:spacing w:line="320" w:lineRule="exact"/>
                    <w:rPr>
                      <w:rFonts w:hint="eastAsia" w:ascii="宋体" w:hAnsi="宋体" w:cs="Times New Roman"/>
                      <w:lang w:val="en-US" w:eastAsia="zh-CN"/>
                    </w:rPr>
                  </w:pPr>
                  <w:r>
                    <w:rPr>
                      <w:rFonts w:hint="eastAsia" w:ascii="宋体" w:hAnsi="宋体" w:cs="Times New Roman"/>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r>
                    <w:rPr>
                      <w:rFonts w:hint="eastAsia" w:ascii="Times New Roman" w:hAnsi="Times New Roman" w:cs="Times New Roman"/>
                      <w:b w:val="0"/>
                      <w:bCs/>
                      <w:szCs w:val="22"/>
                      <w:lang w:val="en-US" w:eastAsia="zh-CN"/>
                    </w:rPr>
                    <w:t>3、</w:t>
                  </w:r>
                  <w:r>
                    <w:rPr>
                      <w:rFonts w:hint="eastAsia" w:ascii="Times New Roman" w:hAnsi="Times New Roman" w:cs="Times New Roman"/>
                      <w:b w:val="0"/>
                      <w:bCs/>
                      <w:szCs w:val="22"/>
                      <w:lang w:eastAsia="zh-CN"/>
                    </w:rPr>
                    <w:t>对纸张和能源进行了控制，保证使用量逐渐降低。</w:t>
                  </w:r>
                </w:p>
              </w:tc>
              <w:tc>
                <w:tcPr>
                  <w:tcW w:w="3136" w:type="dxa"/>
                  <w:shd w:val="clear" w:color="auto" w:fill="auto"/>
                  <w:vAlign w:val="top"/>
                </w:tcPr>
                <w:p>
                  <w:pPr>
                    <w:widowControl/>
                    <w:spacing w:before="40"/>
                    <w:jc w:val="left"/>
                    <w:rPr>
                      <w:rFonts w:hint="eastAsia" w:ascii="宋体" w:hAnsi="宋体" w:eastAsia="宋体"/>
                      <w:lang w:eastAsia="zh-CN"/>
                    </w:rPr>
                  </w:pPr>
                  <w:r>
                    <w:rPr>
                      <w:rFonts w:hint="eastAsia" w:ascii="宋体" w:hAnsi="宋体" w:cs="宋体"/>
                      <w:kern w:val="0"/>
                      <w:szCs w:val="22"/>
                      <w:lang w:eastAsia="zh-CN" w:bidi="ar"/>
                    </w:rPr>
                    <w:t>制定规章制度，加强管理。</w:t>
                  </w:r>
                </w:p>
              </w:tc>
              <w:tc>
                <w:tcPr>
                  <w:tcW w:w="1350" w:type="dxa"/>
                  <w:shd w:val="clear" w:color="auto" w:fill="auto"/>
                  <w:vAlign w:val="center"/>
                </w:tcPr>
                <w:p>
                  <w:pPr>
                    <w:snapToGrid w:val="0"/>
                    <w:spacing w:line="320" w:lineRule="exact"/>
                    <w:rPr>
                      <w:rFonts w:hint="eastAsia" w:ascii="宋体" w:hAnsi="宋体" w:cs="Times New Roman"/>
                      <w:lang w:val="en-US" w:eastAsia="zh-CN"/>
                    </w:rPr>
                  </w:pPr>
                  <w:r>
                    <w:rPr>
                      <w:rFonts w:hint="eastAsia" w:ascii="宋体" w:hAnsi="宋体" w:cs="Times New Roman"/>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p>
              </w:tc>
              <w:tc>
                <w:tcPr>
                  <w:tcW w:w="3136" w:type="dxa"/>
                  <w:shd w:val="clear" w:color="auto" w:fill="auto"/>
                  <w:vAlign w:val="top"/>
                </w:tcPr>
                <w:p>
                  <w:pPr>
                    <w:widowControl/>
                    <w:spacing w:before="40"/>
                    <w:jc w:val="left"/>
                    <w:rPr>
                      <w:rFonts w:ascii="宋体" w:hAnsi="宋体"/>
                    </w:rPr>
                  </w:pPr>
                </w:p>
              </w:tc>
              <w:tc>
                <w:tcPr>
                  <w:tcW w:w="1350" w:type="dxa"/>
                  <w:shd w:val="clear" w:color="auto" w:fill="auto"/>
                  <w:vAlign w:val="center"/>
                </w:tcPr>
                <w:p>
                  <w:pPr>
                    <w:snapToGrid w:val="0"/>
                    <w:spacing w:line="320" w:lineRule="exact"/>
                    <w:rPr>
                      <w:rFonts w:hint="eastAsia" w:ascii="宋体" w:hAnsi="宋体" w:cs="Times New Roman"/>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pStyle w:val="2"/>
            </w:pPr>
          </w:p>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2500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车床、铣床、电焊机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布袋除尘器</w:t>
            </w:r>
            <w:r>
              <w:rPr>
                <w:rFonts w:hint="eastAsia"/>
                <w:u w:val="single"/>
              </w:rPr>
              <w:t xml:space="preserve"> </w:t>
            </w:r>
            <w:r>
              <w:rPr>
                <w:rFonts w:hint="eastAsia"/>
                <w:u w:val="single"/>
                <w:lang w:eastAsia="zh-CN"/>
              </w:rPr>
              <w:t>、</w:t>
            </w:r>
            <w:r>
              <w:rPr>
                <w:rFonts w:hint="eastAsia"/>
                <w:u w:val="single"/>
                <w:lang w:val="en-US" w:eastAsia="zh-CN"/>
              </w:rPr>
              <w:t>吸尘系统</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安全装置 □挂牌上锁管理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除尘装置  □穿戴劳保用品（防尘面罩）</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A3"/>
                  </w:r>
                  <w:r>
                    <w:rPr>
                      <w:rFonts w:hint="eastAsia"/>
                    </w:rPr>
                    <w:t xml:space="preserve">设置围堰  </w:t>
                  </w:r>
                  <w:r>
                    <w:rPr>
                      <w:rFonts w:hint="eastAsia"/>
                    </w:rPr>
                    <w:sym w:font="Wingdings 2" w:char="0052"/>
                  </w:r>
                  <w:r>
                    <w:rPr>
                      <w:rFonts w:hint="eastAsia"/>
                    </w:rPr>
                    <w:t>排风系统 □穿戴劳保用品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减少作业时间  </w:t>
                  </w:r>
                  <w:r>
                    <w:rPr>
                      <w:rFonts w:hint="eastAsia"/>
                    </w:rPr>
                    <w:sym w:font="Wingdings 2" w:char="0052"/>
                  </w:r>
                  <w:r>
                    <w:rPr>
                      <w:rFonts w:hint="eastAsia"/>
                    </w:rPr>
                    <w:t>空间隔离  □防暑降温用品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 xml:space="preserve">定期（每年） </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6</w:t>
            </w:r>
            <w:r>
              <w:rPr>
                <w:rFonts w:hint="eastAsia"/>
              </w:rPr>
              <w:t>月</w:t>
            </w:r>
            <w:r>
              <w:rPr>
                <w:rFonts w:hint="eastAsia"/>
                <w:u w:val="single"/>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none"/>
              </w:rPr>
              <w:t xml:space="preserve">销售过程所涉及的相关环境管理活动。 </w:t>
            </w:r>
            <w:r>
              <w:rPr>
                <w:rFonts w:hint="eastAsia"/>
                <w:u w:val="none"/>
                <w:lang w:val="en-US" w:eastAsia="zh-CN"/>
              </w:rPr>
              <w:t>不涉及以上要求</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19-20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7</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1E5A7B8"/>
    <w:multiLevelType w:val="singleLevel"/>
    <w:tmpl w:val="F1E5A7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33438"/>
    <w:rsid w:val="03221E82"/>
    <w:rsid w:val="05061090"/>
    <w:rsid w:val="0EB35B2A"/>
    <w:rsid w:val="11703BC6"/>
    <w:rsid w:val="145F4599"/>
    <w:rsid w:val="23FE5CB2"/>
    <w:rsid w:val="262C67E8"/>
    <w:rsid w:val="265743A5"/>
    <w:rsid w:val="273C4936"/>
    <w:rsid w:val="28D34F8B"/>
    <w:rsid w:val="378761DE"/>
    <w:rsid w:val="44063807"/>
    <w:rsid w:val="44AA7710"/>
    <w:rsid w:val="512B3583"/>
    <w:rsid w:val="51A51E69"/>
    <w:rsid w:val="5B3667C5"/>
    <w:rsid w:val="6B931481"/>
    <w:rsid w:val="7F5D4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2021-09-30T16:23:57Z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