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重庆派斯克科技发展有限公司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曹娟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24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预计整改</w:t>
            </w:r>
          </w:p>
          <w:p>
            <w:pPr>
              <w:spacing w:before="120" w:line="24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完成日期</w:t>
            </w:r>
          </w:p>
        </w:tc>
        <w:tc>
          <w:tcPr>
            <w:tcW w:w="2071" w:type="dxa"/>
          </w:tcPr>
          <w:p>
            <w:pPr>
              <w:spacing w:before="120" w:line="24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2021年8月1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2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日</w:t>
            </w:r>
          </w:p>
          <w:p>
            <w:pPr>
              <w:spacing w:before="120" w:line="24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2021年8月1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3</w:t>
            </w:r>
            <w:bookmarkStart w:id="15" w:name="_GoBack"/>
            <w:bookmarkEnd w:id="15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  <w:t>查文件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回收记录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  <w:t>:因组织质量手册由质量、环境安全三体系更改为质量管理单体系，新的质量手册文件于2020年3月1日发布实施，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不能提供换版前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lang w:val="en-US" w:eastAsia="zh-CN"/>
              </w:rPr>
              <w:t>质量手册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</w:rPr>
              <w:t>文件的作废处理记录。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不符合标准GB/T 24001-2016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ISO45001：2018的7.5.3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条款“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</w:rPr>
              <w:t>适用时，组织应针对下列活动来控制文件化信息--保留和处置。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lang w:val="en-US" w:eastAsia="zh-CN"/>
              </w:rPr>
              <w:t>的要求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2827655</wp:posOffset>
                  </wp:positionH>
                  <wp:positionV relativeFrom="paragraph">
                    <wp:posOffset>90805</wp:posOffset>
                  </wp:positionV>
                  <wp:extent cx="681355" cy="424180"/>
                  <wp:effectExtent l="0" t="0" r="4445" b="254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103505</wp:posOffset>
                  </wp:positionV>
                  <wp:extent cx="681355" cy="424180"/>
                  <wp:effectExtent l="0" t="0" r="4445" b="254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2021年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2021年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8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0C7485"/>
    <w:rsid w:val="37E62B54"/>
    <w:rsid w:val="562635EE"/>
    <w:rsid w:val="667A1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7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2021-08-12T06:21:34Z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