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0156-2019-EO-2021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重庆嘉唯斯服饰有限公司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杨珍全</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E:ISC-E-2019-0213,O:ISC-O-2019-0201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91500109MA607P1X0L</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E:15,O:15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重庆嘉唯斯服饰有限公司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E：服装服饰、针纺织品的销售及相关环境管理活动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O：服装服饰、针纺织品的销售及相关职业健康安全管理活动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重庆市北碚区新茂路1号(自贸区)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重庆市南坪江南大道19号城市之光16-16</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重庆嘉唯斯服饰有限公司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E:ISC-E-2019-0213,O:ISC-O-2019-0201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重庆市北碚区新茂路1号(自贸区)/重庆市南坪江南大道19号城市之光16-16</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