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成都千钟粟农业科技有限公司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0845-2021-QEO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bookmarkStart w:id="13" w:name="_GoBack"/>
            <w:bookmarkEnd w:id="13"/>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jc w:val="center"/>
              <w:rPr>
                <w:sz w:val="24"/>
                <w:szCs w:val="24"/>
                <w:highlight w:val="none"/>
              </w:rPr>
            </w:pPr>
            <w:r>
              <w:rPr>
                <w:sz w:val="24"/>
                <w:szCs w:val="24"/>
                <w:highlight w:val="none"/>
                <w:lang w:val="de-DE"/>
              </w:rPr>
              <w:t>杨珍全</w:t>
            </w:r>
          </w:p>
        </w:tc>
        <w:tc>
          <w:tcPr>
            <w:tcW w:w="1184" w:type="dxa"/>
            <w:vAlign w:val="center"/>
          </w:tcPr>
          <w:p>
            <w:pPr>
              <w:snapToGrid w:val="0"/>
              <w:spacing w:line="320" w:lineRule="exact"/>
              <w:ind w:firstLine="240" w:firstLineChars="100"/>
              <w:jc w:val="both"/>
              <w:rPr>
                <w:rFonts w:hint="eastAsia" w:eastAsia="宋体"/>
                <w:sz w:val="24"/>
                <w:szCs w:val="24"/>
                <w:highlight w:val="none"/>
                <w:lang w:val="en-US" w:eastAsia="zh-CN"/>
              </w:rPr>
            </w:pPr>
            <w:r>
              <w:rPr>
                <w:rFonts w:hint="eastAsia"/>
                <w:sz w:val="24"/>
                <w:szCs w:val="24"/>
                <w:highlight w:val="none"/>
                <w:lang w:val="en-US" w:eastAsia="zh-CN"/>
              </w:rPr>
              <w:t>组长</w:t>
            </w:r>
          </w:p>
        </w:tc>
        <w:tc>
          <w:tcPr>
            <w:tcW w:w="5595" w:type="dxa"/>
            <w:gridSpan w:val="3"/>
            <w:vAlign w:val="center"/>
          </w:tcPr>
          <w:p>
            <w:pPr>
              <w:numPr>
                <w:ilvl w:val="0"/>
                <w:numId w:val="1"/>
              </w:numPr>
              <w:jc w:val="center"/>
              <w:rPr>
                <w:rFonts w:hint="eastAsia"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rPr>
              <w:t>N1QMS-2230067</w:t>
            </w:r>
          </w:p>
          <w:p>
            <w:pPr>
              <w:numPr>
                <w:ilvl w:val="0"/>
                <w:numId w:val="0"/>
              </w:numPr>
              <w:jc w:val="center"/>
              <w:rPr>
                <w:rFonts w:ascii="Times New Roman" w:hAnsi="Times New Roman" w:eastAsia="宋体" w:cs="Times New Roman"/>
                <w:sz w:val="24"/>
                <w:szCs w:val="24"/>
                <w:highlight w:val="none"/>
                <w:lang w:val="de-DE"/>
              </w:rPr>
            </w:pPr>
            <w:r>
              <w:rPr>
                <w:rFonts w:ascii="Times New Roman" w:hAnsi="Times New Roman" w:eastAsia="宋体" w:cs="Times New Roman"/>
                <w:sz w:val="24"/>
                <w:szCs w:val="24"/>
                <w:highlight w:val="none"/>
                <w:lang w:val="de-DE"/>
              </w:rPr>
              <w:t>2018-N1EMS-1230067</w:t>
            </w:r>
          </w:p>
          <w:p>
            <w:pPr>
              <w:numPr>
                <w:ilvl w:val="0"/>
                <w:numId w:val="0"/>
              </w:numPr>
              <w:jc w:val="center"/>
              <w:rPr>
                <w:sz w:val="24"/>
                <w:szCs w:val="24"/>
                <w:highlight w:val="none"/>
              </w:rPr>
            </w:pPr>
            <w:r>
              <w:rPr>
                <w:rFonts w:ascii="Times New Roman" w:hAnsi="Times New Roman" w:eastAsia="宋体" w:cs="Times New Roman"/>
                <w:sz w:val="24"/>
                <w:szCs w:val="24"/>
                <w:highlight w:val="none"/>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jc w:val="center"/>
              <w:rPr>
                <w:b/>
                <w:sz w:val="24"/>
                <w:szCs w:val="24"/>
                <w:highlight w:val="none"/>
              </w:rPr>
            </w:pPr>
            <w:r>
              <w:rPr>
                <w:sz w:val="24"/>
                <w:szCs w:val="24"/>
                <w:highlight w:val="none"/>
              </w:rPr>
              <w:t>余家龙</w:t>
            </w:r>
          </w:p>
        </w:tc>
        <w:tc>
          <w:tcPr>
            <w:tcW w:w="1184" w:type="dxa"/>
            <w:vAlign w:val="center"/>
          </w:tcPr>
          <w:p>
            <w:pPr>
              <w:snapToGrid w:val="0"/>
              <w:spacing w:line="320" w:lineRule="exact"/>
              <w:ind w:firstLine="240" w:firstLineChars="100"/>
              <w:jc w:val="both"/>
              <w:rPr>
                <w:b/>
                <w:sz w:val="24"/>
                <w:szCs w:val="24"/>
                <w:highlight w:val="none"/>
              </w:rPr>
            </w:pPr>
            <w:r>
              <w:rPr>
                <w:sz w:val="24"/>
                <w:szCs w:val="24"/>
                <w:highlight w:val="none"/>
              </w:rPr>
              <w:t>组员</w:t>
            </w:r>
          </w:p>
        </w:tc>
        <w:tc>
          <w:tcPr>
            <w:tcW w:w="5595" w:type="dxa"/>
            <w:gridSpan w:val="3"/>
            <w:vAlign w:val="center"/>
          </w:tcPr>
          <w:p>
            <w:pPr>
              <w:snapToGrid w:val="0"/>
              <w:spacing w:line="320" w:lineRule="exact"/>
              <w:ind w:left="1309"/>
              <w:jc w:val="both"/>
              <w:rPr>
                <w:sz w:val="24"/>
                <w:szCs w:val="24"/>
                <w:highlight w:val="none"/>
              </w:rPr>
            </w:pPr>
            <w:r>
              <w:rPr>
                <w:sz w:val="24"/>
                <w:szCs w:val="24"/>
                <w:highlight w:val="none"/>
              </w:rPr>
              <w:t>2020-N1QMS-1262293</w:t>
            </w:r>
          </w:p>
          <w:p>
            <w:pPr>
              <w:snapToGrid w:val="0"/>
              <w:spacing w:line="320" w:lineRule="exact"/>
              <w:ind w:left="1309"/>
              <w:jc w:val="both"/>
              <w:rPr>
                <w:sz w:val="24"/>
                <w:szCs w:val="24"/>
                <w:highlight w:val="none"/>
              </w:rPr>
            </w:pPr>
            <w:r>
              <w:rPr>
                <w:sz w:val="24"/>
                <w:szCs w:val="24"/>
                <w:highlight w:val="none"/>
              </w:rPr>
              <w:t>2020-N1EMS-1262293</w:t>
            </w:r>
          </w:p>
          <w:p>
            <w:pPr>
              <w:snapToGrid w:val="0"/>
              <w:spacing w:line="320" w:lineRule="exact"/>
              <w:ind w:left="1309" w:leftChars="0"/>
              <w:jc w:val="both"/>
              <w:rPr>
                <w:b/>
                <w:sz w:val="24"/>
                <w:szCs w:val="24"/>
                <w:highlight w:val="none"/>
              </w:rPr>
            </w:pPr>
            <w:r>
              <w:rPr>
                <w:sz w:val="24"/>
                <w:szCs w:val="24"/>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jc w:val="center"/>
              <w:rPr>
                <w:b/>
                <w:sz w:val="24"/>
                <w:szCs w:val="24"/>
                <w:highlight w:val="none"/>
              </w:rPr>
            </w:pPr>
            <w:r>
              <w:rPr>
                <w:sz w:val="24"/>
                <w:szCs w:val="24"/>
                <w:highlight w:val="none"/>
              </w:rPr>
              <w:t>陈伟</w:t>
            </w:r>
          </w:p>
        </w:tc>
        <w:tc>
          <w:tcPr>
            <w:tcW w:w="1184" w:type="dxa"/>
            <w:vAlign w:val="center"/>
          </w:tcPr>
          <w:p>
            <w:pPr>
              <w:snapToGrid w:val="0"/>
              <w:spacing w:line="320" w:lineRule="exact"/>
              <w:ind w:firstLine="240" w:firstLineChars="100"/>
              <w:jc w:val="both"/>
              <w:rPr>
                <w:b/>
                <w:sz w:val="24"/>
                <w:szCs w:val="24"/>
                <w:highlight w:val="none"/>
              </w:rPr>
            </w:pPr>
            <w:r>
              <w:rPr>
                <w:sz w:val="24"/>
                <w:szCs w:val="24"/>
                <w:highlight w:val="none"/>
              </w:rPr>
              <w:t>组员</w:t>
            </w:r>
          </w:p>
        </w:tc>
        <w:tc>
          <w:tcPr>
            <w:tcW w:w="5595" w:type="dxa"/>
            <w:gridSpan w:val="3"/>
            <w:vAlign w:val="center"/>
          </w:tcPr>
          <w:p>
            <w:pPr>
              <w:snapToGrid w:val="0"/>
              <w:spacing w:line="320" w:lineRule="exact"/>
              <w:ind w:left="1309"/>
              <w:jc w:val="both"/>
              <w:rPr>
                <w:sz w:val="24"/>
                <w:szCs w:val="24"/>
                <w:highlight w:val="none"/>
              </w:rPr>
            </w:pPr>
            <w:r>
              <w:rPr>
                <w:sz w:val="24"/>
                <w:szCs w:val="24"/>
                <w:highlight w:val="none"/>
              </w:rPr>
              <w:t>2020-N1QMS-1265256</w:t>
            </w:r>
          </w:p>
          <w:p>
            <w:pPr>
              <w:snapToGrid w:val="0"/>
              <w:spacing w:line="320" w:lineRule="exact"/>
              <w:ind w:left="1309" w:leftChars="0"/>
              <w:jc w:val="both"/>
              <w:rPr>
                <w:b/>
                <w:sz w:val="24"/>
                <w:szCs w:val="24"/>
                <w:highlight w:val="none"/>
              </w:rPr>
            </w:pPr>
            <w:r>
              <w:rPr>
                <w:sz w:val="24"/>
                <w:szCs w:val="24"/>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李林</w:t>
            </w:r>
          </w:p>
        </w:tc>
        <w:tc>
          <w:tcPr>
            <w:tcW w:w="1184" w:type="dxa"/>
            <w:vAlign w:val="center"/>
          </w:tcPr>
          <w:p>
            <w:pPr>
              <w:snapToGrid w:val="0"/>
              <w:spacing w:line="320" w:lineRule="exact"/>
              <w:ind w:firstLine="120" w:firstLineChars="50"/>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组员</w:t>
            </w:r>
          </w:p>
        </w:tc>
        <w:tc>
          <w:tcPr>
            <w:tcW w:w="5595" w:type="dxa"/>
            <w:gridSpan w:val="3"/>
            <w:vAlign w:val="center"/>
          </w:tcPr>
          <w:p>
            <w:pPr>
              <w:snapToGrid w:val="0"/>
              <w:spacing w:line="320" w:lineRule="exact"/>
              <w:ind w:left="1309" w:leftChars="0"/>
              <w:jc w:val="both"/>
              <w:rPr>
                <w:rFonts w:ascii="Times New Roman" w:hAnsi="Times New Roman" w:eastAsia="宋体" w:cs="Times New Roman"/>
                <w:sz w:val="24"/>
                <w:szCs w:val="24"/>
                <w:highlight w:val="none"/>
                <w:lang w:val="de-DE"/>
              </w:rPr>
            </w:pPr>
            <w:r>
              <w:rPr>
                <w:rFonts w:ascii="Times New Roman" w:hAnsi="Times New Roman" w:eastAsia="宋体" w:cs="Times New Roman"/>
                <w:sz w:val="24"/>
                <w:szCs w:val="24"/>
                <w:highlight w:val="none"/>
                <w:lang w:val="de-DE"/>
              </w:rPr>
              <w:t>2019-N1QMS-1242345</w:t>
            </w:r>
          </w:p>
          <w:p>
            <w:pPr>
              <w:snapToGrid w:val="0"/>
              <w:spacing w:line="320" w:lineRule="exact"/>
              <w:ind w:left="1309" w:leftChars="0"/>
              <w:jc w:val="both"/>
              <w:rPr>
                <w:b/>
                <w:sz w:val="24"/>
                <w:szCs w:val="24"/>
                <w:highlight w:val="none"/>
              </w:rPr>
            </w:pPr>
            <w:r>
              <w:rPr>
                <w:rFonts w:ascii="Times New Roman" w:hAnsi="Times New Roman" w:eastAsia="宋体" w:cs="Times New Roman"/>
                <w:sz w:val="24"/>
                <w:szCs w:val="24"/>
                <w:highlight w:val="none"/>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w:t>
            </w:r>
            <w:r>
              <w:rPr>
                <w:rFonts w:hint="eastAsia"/>
                <w:b/>
                <w:sz w:val="20"/>
                <w:lang w:val="en-US" w:eastAsia="zh-CN"/>
              </w:rPr>
              <w:t>28</w:t>
            </w:r>
            <w:r>
              <w:rPr>
                <w:rFonts w:hint="eastAsia"/>
                <w:b/>
                <w:sz w:val="20"/>
              </w:rPr>
              <w:t>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w:t>
            </w:r>
            <w:r>
              <w:rPr>
                <w:rFonts w:hint="eastAsia"/>
                <w:b/>
                <w:sz w:val="20"/>
                <w:lang w:val="en-US" w:eastAsia="zh-CN"/>
              </w:rPr>
              <w:t>28</w:t>
            </w:r>
            <w:r>
              <w:rPr>
                <w:rFonts w:hint="eastAsia"/>
                <w:b/>
                <w:sz w:val="20"/>
              </w:rPr>
              <w:t>日</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ascii="Times New Roman" w:hAnsi="Times New Roman" w:eastAsia="宋体" w:cs="Times New Roman"/>
                <w:b/>
                <w:sz w:val="22"/>
                <w:szCs w:val="22"/>
              </w:rPr>
              <w:t>：2021年08月</w:t>
            </w:r>
            <w:r>
              <w:rPr>
                <w:rFonts w:hint="eastAsia" w:ascii="Times New Roman" w:hAnsi="Times New Roman" w:eastAsia="宋体" w:cs="Times New Roman"/>
                <w:b/>
                <w:sz w:val="22"/>
                <w:szCs w:val="22"/>
                <w:lang w:val="en-US" w:eastAsia="zh-CN"/>
              </w:rPr>
              <w:t>28</w:t>
            </w:r>
            <w:r>
              <w:rPr>
                <w:rFonts w:hint="eastAsia" w:ascii="Times New Roman" w:hAnsi="Times New Roman" w:eastAsia="宋体" w:cs="Times New Roman"/>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96506"/>
    <w:multiLevelType w:val="singleLevel"/>
    <w:tmpl w:val="7E496506"/>
    <w:lvl w:ilvl="0" w:tentative="0">
      <w:start w:val="20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CB6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2021-08-26T06:11:20Z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